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8CCB" w14:textId="77777777" w:rsidR="00966B7B" w:rsidRPr="006D6204" w:rsidRDefault="00966B7B" w:rsidP="00966B7B">
      <w:pPr>
        <w:spacing w:after="0" w:line="240" w:lineRule="auto"/>
        <w:ind w:left="5660" w:firstLine="700"/>
        <w:jc w:val="right"/>
        <w:rPr>
          <w:rFonts w:asciiTheme="majorBidi" w:eastAsia="Times New Roman" w:hAnsiTheme="majorBidi" w:cstheme="majorBidi"/>
          <w:sz w:val="24"/>
          <w:szCs w:val="24"/>
          <w:lang w:val="ru-RU"/>
        </w:rPr>
      </w:pPr>
      <w:r w:rsidRPr="006D6204">
        <w:rPr>
          <w:rFonts w:asciiTheme="majorBidi" w:eastAsia="Times New Roman" w:hAnsiTheme="majorBidi" w:cstheme="majorBidi"/>
          <w:b/>
          <w:color w:val="000000"/>
          <w:sz w:val="24"/>
          <w:szCs w:val="24"/>
          <w:lang w:val="ru-RU"/>
        </w:rPr>
        <w:t>ДОДАТОК 1</w:t>
      </w:r>
    </w:p>
    <w:p w14:paraId="2C433704" w14:textId="77777777" w:rsidR="00966B7B" w:rsidRPr="006D6204" w:rsidRDefault="00966B7B" w:rsidP="00966B7B">
      <w:pPr>
        <w:spacing w:after="0" w:line="240" w:lineRule="auto"/>
        <w:ind w:left="5660" w:firstLine="700"/>
        <w:jc w:val="right"/>
        <w:rPr>
          <w:rFonts w:asciiTheme="majorBidi" w:eastAsia="Times New Roman" w:hAnsiTheme="majorBidi" w:cstheme="majorBidi"/>
          <w:sz w:val="24"/>
          <w:szCs w:val="24"/>
          <w:lang w:val="ru-RU"/>
        </w:rPr>
      </w:pPr>
      <w:r w:rsidRPr="006D6204">
        <w:rPr>
          <w:rFonts w:asciiTheme="majorBidi" w:eastAsia="Times New Roman" w:hAnsiTheme="majorBidi" w:cstheme="majorBidi"/>
          <w:i/>
          <w:color w:val="000000"/>
          <w:sz w:val="24"/>
          <w:szCs w:val="24"/>
          <w:lang w:val="ru-RU"/>
        </w:rPr>
        <w:t xml:space="preserve">до </w:t>
      </w:r>
      <w:proofErr w:type="spellStart"/>
      <w:r w:rsidRPr="006D6204">
        <w:rPr>
          <w:rFonts w:asciiTheme="majorBidi" w:eastAsia="Times New Roman" w:hAnsiTheme="majorBidi" w:cstheme="majorBidi"/>
          <w:i/>
          <w:color w:val="000000"/>
          <w:sz w:val="24"/>
          <w:szCs w:val="24"/>
          <w:lang w:val="ru-RU"/>
        </w:rPr>
        <w:t>тендерної</w:t>
      </w:r>
      <w:proofErr w:type="spellEnd"/>
      <w:r w:rsidRPr="006D6204">
        <w:rPr>
          <w:rFonts w:asciiTheme="majorBidi" w:eastAsia="Times New Roman" w:hAnsiTheme="majorBidi" w:cstheme="majorBidi"/>
          <w:i/>
          <w:color w:val="000000"/>
          <w:sz w:val="24"/>
          <w:szCs w:val="24"/>
          <w:lang w:val="ru-RU"/>
        </w:rPr>
        <w:t xml:space="preserve"> </w:t>
      </w:r>
      <w:proofErr w:type="spellStart"/>
      <w:r w:rsidRPr="006D6204">
        <w:rPr>
          <w:rFonts w:asciiTheme="majorBidi" w:eastAsia="Times New Roman" w:hAnsiTheme="majorBidi" w:cstheme="majorBidi"/>
          <w:i/>
          <w:color w:val="000000"/>
          <w:sz w:val="24"/>
          <w:szCs w:val="24"/>
          <w:lang w:val="ru-RU"/>
        </w:rPr>
        <w:t>документації</w:t>
      </w:r>
      <w:proofErr w:type="spellEnd"/>
    </w:p>
    <w:p w14:paraId="29A2642E" w14:textId="77777777" w:rsidR="00966B7B" w:rsidRPr="006D6204" w:rsidRDefault="00966B7B" w:rsidP="00966B7B">
      <w:pPr>
        <w:spacing w:after="0" w:line="240" w:lineRule="auto"/>
        <w:ind w:left="5660" w:firstLine="700"/>
        <w:jc w:val="both"/>
        <w:rPr>
          <w:rFonts w:asciiTheme="majorBidi" w:eastAsia="Times New Roman" w:hAnsiTheme="majorBidi" w:cstheme="majorBidi"/>
          <w:sz w:val="24"/>
          <w:szCs w:val="24"/>
          <w:lang w:val="ru-RU"/>
        </w:rPr>
      </w:pPr>
      <w:r w:rsidRPr="006D6204">
        <w:rPr>
          <w:rFonts w:asciiTheme="majorBidi" w:eastAsia="Times New Roman" w:hAnsiTheme="majorBidi" w:cstheme="majorBidi"/>
          <w:i/>
          <w:color w:val="000000"/>
          <w:sz w:val="24"/>
          <w:szCs w:val="24"/>
          <w:lang w:val="ru-RU"/>
        </w:rPr>
        <w:t> </w:t>
      </w:r>
    </w:p>
    <w:p w14:paraId="55E9F660" w14:textId="77777777" w:rsidR="00966B7B" w:rsidRPr="005E5FD8" w:rsidRDefault="00966B7B" w:rsidP="00966B7B">
      <w:pPr>
        <w:spacing w:after="0" w:line="240" w:lineRule="atLeast"/>
        <w:jc w:val="right"/>
        <w:rPr>
          <w:rFonts w:asciiTheme="majorBidi" w:hAnsiTheme="majorBidi" w:cstheme="majorBidi"/>
          <w:b/>
          <w:bCs/>
          <w:sz w:val="24"/>
          <w:szCs w:val="24"/>
          <w:lang w:eastAsia="en-US"/>
        </w:rPr>
      </w:pPr>
      <w:r w:rsidRPr="005E5FD8">
        <w:rPr>
          <w:rFonts w:asciiTheme="majorBidi" w:hAnsiTheme="majorBidi" w:cstheme="majorBidi"/>
          <w:b/>
          <w:bCs/>
          <w:sz w:val="24"/>
          <w:szCs w:val="24"/>
          <w:lang w:eastAsia="en-US"/>
        </w:rPr>
        <w:t>Додаток № 1 до тендерної документації</w:t>
      </w:r>
    </w:p>
    <w:p w14:paraId="0B9DAD86" w14:textId="77777777" w:rsidR="00966B7B" w:rsidRPr="005E5FD8" w:rsidRDefault="00966B7B" w:rsidP="00966B7B">
      <w:pPr>
        <w:spacing w:after="0" w:line="240" w:lineRule="atLeast"/>
        <w:jc w:val="right"/>
        <w:rPr>
          <w:rFonts w:asciiTheme="majorBidi" w:hAnsiTheme="majorBidi" w:cstheme="majorBidi"/>
          <w:b/>
          <w:bCs/>
          <w:sz w:val="24"/>
          <w:szCs w:val="24"/>
          <w:lang w:eastAsia="en-US"/>
        </w:rPr>
      </w:pPr>
    </w:p>
    <w:p w14:paraId="3B16AFB1" w14:textId="77777777" w:rsidR="00966B7B" w:rsidRPr="005E5FD8" w:rsidRDefault="00966B7B" w:rsidP="00966B7B">
      <w:pPr>
        <w:spacing w:after="0" w:line="240" w:lineRule="atLeast"/>
        <w:jc w:val="center"/>
        <w:rPr>
          <w:rFonts w:asciiTheme="majorBidi" w:hAnsiTheme="majorBidi" w:cstheme="majorBidi"/>
          <w:b/>
          <w:bCs/>
          <w:sz w:val="24"/>
          <w:szCs w:val="24"/>
          <w:lang w:eastAsia="en-US"/>
        </w:rPr>
      </w:pPr>
      <w:r w:rsidRPr="005E5FD8">
        <w:rPr>
          <w:rFonts w:asciiTheme="majorBidi" w:hAnsiTheme="majorBidi" w:cstheme="majorBidi"/>
          <w:b/>
          <w:bCs/>
          <w:sz w:val="24"/>
          <w:szCs w:val="24"/>
          <w:lang w:eastAsia="en-US"/>
        </w:rPr>
        <w:t>Кваліфікаційні критерії</w:t>
      </w:r>
    </w:p>
    <w:tbl>
      <w:tblPr>
        <w:tblpPr w:leftFromText="180" w:rightFromText="180" w:vertAnchor="text" w:horzAnchor="margin" w:tblpXSpec="center" w:tblpY="16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7938"/>
      </w:tblGrid>
      <w:tr w:rsidR="00966B7B" w:rsidRPr="005E5FD8" w14:paraId="778B0DCF" w14:textId="77777777" w:rsidTr="006E6303">
        <w:tc>
          <w:tcPr>
            <w:tcW w:w="562" w:type="dxa"/>
            <w:shd w:val="clear" w:color="auto" w:fill="auto"/>
            <w:vAlign w:val="center"/>
          </w:tcPr>
          <w:p w14:paraId="705EF41C" w14:textId="77777777" w:rsidR="00966B7B" w:rsidRPr="005E5FD8" w:rsidRDefault="00966B7B" w:rsidP="006E6303">
            <w:pPr>
              <w:spacing w:after="0" w:line="240" w:lineRule="atLeast"/>
              <w:jc w:val="center"/>
              <w:rPr>
                <w:rFonts w:asciiTheme="majorBidi" w:hAnsiTheme="majorBidi" w:cstheme="majorBidi"/>
                <w:b/>
                <w:bCs/>
                <w:sz w:val="24"/>
                <w:szCs w:val="24"/>
                <w:lang w:eastAsia="en-US"/>
              </w:rPr>
            </w:pPr>
            <w:r w:rsidRPr="005E5FD8">
              <w:rPr>
                <w:rFonts w:asciiTheme="majorBidi" w:hAnsiTheme="majorBidi" w:cstheme="majorBidi"/>
                <w:b/>
                <w:bCs/>
                <w:sz w:val="24"/>
                <w:szCs w:val="24"/>
                <w:lang w:eastAsia="en-US"/>
              </w:rPr>
              <w:t>№</w:t>
            </w:r>
          </w:p>
        </w:tc>
        <w:tc>
          <w:tcPr>
            <w:tcW w:w="2127" w:type="dxa"/>
            <w:shd w:val="clear" w:color="auto" w:fill="auto"/>
            <w:vAlign w:val="center"/>
          </w:tcPr>
          <w:p w14:paraId="05C7DC13" w14:textId="77777777" w:rsidR="00966B7B" w:rsidRPr="005E5FD8" w:rsidRDefault="00966B7B" w:rsidP="006E6303">
            <w:pPr>
              <w:spacing w:after="0" w:line="240" w:lineRule="atLeast"/>
              <w:jc w:val="center"/>
              <w:rPr>
                <w:rFonts w:asciiTheme="majorBidi" w:hAnsiTheme="majorBidi" w:cstheme="majorBidi"/>
                <w:b/>
                <w:bCs/>
                <w:sz w:val="24"/>
                <w:szCs w:val="24"/>
                <w:lang w:eastAsia="en-US"/>
              </w:rPr>
            </w:pPr>
            <w:r w:rsidRPr="005E5FD8">
              <w:rPr>
                <w:rFonts w:asciiTheme="majorBidi" w:hAnsiTheme="majorBidi" w:cstheme="majorBidi"/>
                <w:b/>
                <w:bCs/>
                <w:sz w:val="24"/>
                <w:szCs w:val="24"/>
                <w:lang w:eastAsia="en-US"/>
              </w:rPr>
              <w:t>Назва кваліфікаційного критерію</w:t>
            </w:r>
          </w:p>
        </w:tc>
        <w:tc>
          <w:tcPr>
            <w:tcW w:w="7938" w:type="dxa"/>
            <w:shd w:val="clear" w:color="auto" w:fill="auto"/>
            <w:vAlign w:val="center"/>
          </w:tcPr>
          <w:p w14:paraId="5F5268CB" w14:textId="77777777" w:rsidR="00966B7B" w:rsidRPr="005E5FD8" w:rsidRDefault="00966B7B" w:rsidP="006E6303">
            <w:pPr>
              <w:spacing w:after="0" w:line="240" w:lineRule="atLeast"/>
              <w:jc w:val="center"/>
              <w:rPr>
                <w:rFonts w:asciiTheme="majorBidi" w:hAnsiTheme="majorBidi" w:cstheme="majorBidi"/>
                <w:b/>
                <w:bCs/>
                <w:sz w:val="24"/>
                <w:szCs w:val="24"/>
                <w:lang w:eastAsia="en-US"/>
              </w:rPr>
            </w:pPr>
            <w:r w:rsidRPr="005E5FD8">
              <w:rPr>
                <w:rFonts w:asciiTheme="majorBidi" w:hAnsiTheme="majorBidi" w:cstheme="majorBidi"/>
                <w:b/>
                <w:bCs/>
                <w:sz w:val="24"/>
                <w:szCs w:val="24"/>
                <w:lang w:eastAsia="en-US"/>
              </w:rPr>
              <w:t>Спосіб підтвердження кваліфікаційного критерію</w:t>
            </w:r>
          </w:p>
        </w:tc>
      </w:tr>
      <w:tr w:rsidR="00966B7B" w:rsidRPr="005E5FD8" w14:paraId="698C40C6" w14:textId="77777777" w:rsidTr="006E6303">
        <w:tc>
          <w:tcPr>
            <w:tcW w:w="562" w:type="dxa"/>
            <w:shd w:val="clear" w:color="auto" w:fill="auto"/>
          </w:tcPr>
          <w:p w14:paraId="2C9DA4C7" w14:textId="77777777" w:rsidR="00966B7B" w:rsidRPr="005E5FD8" w:rsidRDefault="00966B7B" w:rsidP="006E6303">
            <w:pPr>
              <w:spacing w:after="0" w:line="240" w:lineRule="atLeast"/>
              <w:jc w:val="center"/>
              <w:rPr>
                <w:rFonts w:asciiTheme="majorBidi" w:hAnsiTheme="majorBidi" w:cstheme="majorBidi"/>
                <w:sz w:val="24"/>
                <w:szCs w:val="24"/>
                <w:lang w:eastAsia="en-US"/>
              </w:rPr>
            </w:pPr>
            <w:r w:rsidRPr="005E5FD8">
              <w:rPr>
                <w:rFonts w:asciiTheme="majorBidi" w:hAnsiTheme="majorBidi" w:cstheme="majorBidi"/>
                <w:sz w:val="24"/>
                <w:szCs w:val="24"/>
                <w:lang w:eastAsia="en-US"/>
              </w:rPr>
              <w:t>1</w:t>
            </w:r>
          </w:p>
        </w:tc>
        <w:tc>
          <w:tcPr>
            <w:tcW w:w="2127" w:type="dxa"/>
            <w:shd w:val="clear" w:color="auto" w:fill="auto"/>
          </w:tcPr>
          <w:p w14:paraId="36C73365" w14:textId="77777777" w:rsidR="00966B7B" w:rsidRPr="005E5FD8" w:rsidRDefault="00966B7B" w:rsidP="006E6303">
            <w:pPr>
              <w:spacing w:after="0" w:line="240" w:lineRule="atLeast"/>
              <w:rPr>
                <w:rFonts w:asciiTheme="majorBidi" w:hAnsiTheme="majorBidi" w:cstheme="majorBidi"/>
                <w:sz w:val="24"/>
                <w:szCs w:val="24"/>
                <w:lang w:eastAsia="en-US"/>
              </w:rPr>
            </w:pPr>
            <w:r w:rsidRPr="005E5FD8">
              <w:rPr>
                <w:rFonts w:asciiTheme="majorBidi" w:hAnsiTheme="majorBidi" w:cstheme="majorBidi"/>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938" w:type="dxa"/>
            <w:shd w:val="clear" w:color="auto" w:fill="auto"/>
          </w:tcPr>
          <w:p w14:paraId="130B8003" w14:textId="77777777" w:rsidR="00966B7B" w:rsidRPr="005E5FD8" w:rsidRDefault="00966B7B" w:rsidP="00966B7B">
            <w:pPr>
              <w:numPr>
                <w:ilvl w:val="0"/>
                <w:numId w:val="3"/>
              </w:numPr>
              <w:tabs>
                <w:tab w:val="left" w:pos="330"/>
              </w:tabs>
              <w:spacing w:after="0" w:line="240" w:lineRule="atLeast"/>
              <w:ind w:left="0" w:firstLine="0"/>
              <w:contextualSpacing/>
              <w:jc w:val="both"/>
              <w:rPr>
                <w:rFonts w:asciiTheme="majorBidi" w:hAnsiTheme="majorBidi" w:cstheme="majorBidi"/>
                <w:sz w:val="24"/>
                <w:szCs w:val="24"/>
                <w:lang w:eastAsia="en-US"/>
              </w:rPr>
            </w:pPr>
            <w:r w:rsidRPr="005E5FD8">
              <w:rPr>
                <w:rFonts w:asciiTheme="majorBidi" w:hAnsiTheme="majorBidi" w:cstheme="majorBidi"/>
                <w:sz w:val="24"/>
                <w:szCs w:val="24"/>
                <w:lang w:eastAsia="en-US"/>
              </w:rPr>
              <w:t xml:space="preserve">Довідка з інформацією про наявність досвіду виконання аналогічного (аналогічних) договору (договорів) за предметом закупівлі (не менше одного договору). </w:t>
            </w:r>
          </w:p>
          <w:p w14:paraId="3B3AB028" w14:textId="77777777" w:rsidR="00966B7B" w:rsidRPr="005E5FD8" w:rsidRDefault="00966B7B" w:rsidP="006E6303">
            <w:pPr>
              <w:spacing w:after="0" w:line="240" w:lineRule="atLeast"/>
              <w:jc w:val="both"/>
              <w:rPr>
                <w:rFonts w:asciiTheme="majorBidi" w:hAnsiTheme="majorBidi" w:cstheme="majorBidi"/>
                <w:sz w:val="24"/>
                <w:szCs w:val="24"/>
                <w:lang w:eastAsia="en-US"/>
              </w:rPr>
            </w:pPr>
            <w:r w:rsidRPr="005E5FD8">
              <w:rPr>
                <w:rFonts w:asciiTheme="majorBidi" w:hAnsiTheme="majorBidi" w:cstheme="majorBidi"/>
                <w:sz w:val="24"/>
                <w:szCs w:val="24"/>
                <w:lang w:eastAsia="en-US"/>
              </w:rPr>
              <w:t xml:space="preserve">Аналогічними вважаються договори на надання послуг з встановлення систем охоронної сигналізації. Інформація про укладання аналогічного (аналогічних) договору (договорів) повинна знаходитися в електронній системі </w:t>
            </w:r>
            <w:proofErr w:type="spellStart"/>
            <w:r w:rsidRPr="005E5FD8">
              <w:rPr>
                <w:rFonts w:asciiTheme="majorBidi" w:hAnsiTheme="majorBidi" w:cstheme="majorBidi"/>
                <w:sz w:val="24"/>
                <w:szCs w:val="24"/>
                <w:lang w:eastAsia="en-US"/>
              </w:rPr>
              <w:t>закупівель</w:t>
            </w:r>
            <w:proofErr w:type="spellEnd"/>
            <w:r w:rsidRPr="005E5FD8">
              <w:rPr>
                <w:rFonts w:asciiTheme="majorBidi" w:hAnsiTheme="majorBidi" w:cstheme="majorBidi"/>
                <w:sz w:val="24"/>
                <w:szCs w:val="24"/>
                <w:lang w:eastAsia="en-US"/>
              </w:rPr>
              <w:t xml:space="preserve"> у вільному доступі. Послуги за договорами, які вказує учасник, мають бути наданими в повному обсязі. Довідка повинна містити інформацію про предмет договору, вартість договору, номер та дату його укладення, найменування контрагента, дані контактних осіб контрагента (прізвище та ініціали, телефон), посилання на публічне розміщення інформації в електронній системі </w:t>
            </w:r>
            <w:proofErr w:type="spellStart"/>
            <w:r w:rsidRPr="005E5FD8">
              <w:rPr>
                <w:rFonts w:asciiTheme="majorBidi" w:hAnsiTheme="majorBidi" w:cstheme="majorBidi"/>
                <w:sz w:val="24"/>
                <w:szCs w:val="24"/>
                <w:lang w:eastAsia="en-US"/>
              </w:rPr>
              <w:t>закупівель</w:t>
            </w:r>
            <w:proofErr w:type="spellEnd"/>
            <w:r w:rsidRPr="005E5FD8">
              <w:rPr>
                <w:rFonts w:asciiTheme="majorBidi" w:hAnsiTheme="majorBidi" w:cstheme="majorBidi"/>
                <w:sz w:val="24"/>
                <w:szCs w:val="24"/>
                <w:lang w:eastAsia="en-US"/>
              </w:rPr>
              <w:t xml:space="preserve"> про укладений (укладені) аналогічний (аналогічні) договір (договори) із обов’язковим зазначенням ідентифікатора (ідентифікаторів) закупівлі (</w:t>
            </w:r>
            <w:proofErr w:type="spellStart"/>
            <w:r w:rsidRPr="005E5FD8">
              <w:rPr>
                <w:rFonts w:asciiTheme="majorBidi" w:hAnsiTheme="majorBidi" w:cstheme="majorBidi"/>
                <w:sz w:val="24"/>
                <w:szCs w:val="24"/>
                <w:lang w:eastAsia="en-US"/>
              </w:rPr>
              <w:t>закупівель</w:t>
            </w:r>
            <w:proofErr w:type="spellEnd"/>
            <w:r w:rsidRPr="005E5FD8">
              <w:rPr>
                <w:rFonts w:asciiTheme="majorBidi" w:hAnsiTheme="majorBidi" w:cstheme="majorBidi"/>
                <w:sz w:val="24"/>
                <w:szCs w:val="24"/>
                <w:lang w:eastAsia="en-US"/>
              </w:rPr>
              <w:t>). Довідка складається в довільній формі за підписом учасника/уповноваженої особи учасника у вигляді сканованої копії або у формі електронного документа із накладанням КЕП.</w:t>
            </w:r>
          </w:p>
          <w:p w14:paraId="5584C9CB" w14:textId="77777777" w:rsidR="00966B7B" w:rsidRPr="005E5FD8" w:rsidRDefault="00966B7B" w:rsidP="006E6303">
            <w:pPr>
              <w:spacing w:after="0" w:line="240" w:lineRule="atLeast"/>
              <w:ind w:firstLine="322"/>
              <w:jc w:val="both"/>
              <w:rPr>
                <w:rFonts w:asciiTheme="majorBidi" w:hAnsiTheme="majorBidi" w:cstheme="majorBidi"/>
                <w:sz w:val="24"/>
                <w:szCs w:val="24"/>
                <w:lang w:eastAsia="en-US"/>
              </w:rPr>
            </w:pPr>
            <w:r w:rsidRPr="005E5FD8">
              <w:rPr>
                <w:rFonts w:asciiTheme="majorBidi" w:hAnsiTheme="majorBidi" w:cstheme="majorBidi"/>
                <w:sz w:val="24"/>
                <w:szCs w:val="24"/>
                <w:lang w:eastAsia="en-US"/>
              </w:rPr>
              <w:t>На підтвердження інформації зазначеної у цій довідці учаснику необхідно надати у складі своєї пропозиції наступні документи:</w:t>
            </w:r>
          </w:p>
          <w:p w14:paraId="623E53B9" w14:textId="77777777" w:rsidR="00966B7B" w:rsidRPr="005E5FD8" w:rsidRDefault="00966B7B" w:rsidP="006E6303">
            <w:pPr>
              <w:spacing w:after="0" w:line="240" w:lineRule="atLeast"/>
              <w:ind w:firstLine="289"/>
              <w:jc w:val="both"/>
              <w:rPr>
                <w:rFonts w:asciiTheme="majorBidi" w:hAnsiTheme="majorBidi" w:cstheme="majorBidi"/>
                <w:sz w:val="24"/>
                <w:szCs w:val="24"/>
                <w:lang w:eastAsia="en-US"/>
              </w:rPr>
            </w:pPr>
            <w:r w:rsidRPr="005E5FD8">
              <w:rPr>
                <w:rFonts w:asciiTheme="majorBidi" w:hAnsiTheme="majorBidi" w:cstheme="majorBidi"/>
                <w:sz w:val="24"/>
                <w:szCs w:val="24"/>
                <w:lang w:eastAsia="en-US"/>
              </w:rPr>
              <w:t>1.1. Копія (копії) виконаного (виконаних) договору (договорів) (з додатками), зазначених у довідці з інформацією про наявність досвіду виконання аналогічного (аналогічних) договору (договорів). Додаток (додатки) до договору вважаються наданими в достатній кількості, якщо вони  містять інформацію про послугу, яку надано за договором. Надання усіх додатків до договору в повному обсязі не є обов’язковим. Документи надаються у вигляді сканованих копій.</w:t>
            </w:r>
          </w:p>
          <w:p w14:paraId="0C1EDE64" w14:textId="77777777" w:rsidR="00966B7B" w:rsidRPr="005E5FD8" w:rsidRDefault="00966B7B" w:rsidP="006E6303">
            <w:pPr>
              <w:spacing w:after="0" w:line="240" w:lineRule="atLeast"/>
              <w:ind w:firstLine="322"/>
              <w:jc w:val="both"/>
              <w:rPr>
                <w:rFonts w:asciiTheme="majorBidi" w:hAnsiTheme="majorBidi" w:cstheme="majorBidi"/>
                <w:sz w:val="24"/>
                <w:szCs w:val="24"/>
                <w:lang w:eastAsia="en-US"/>
              </w:rPr>
            </w:pPr>
            <w:r w:rsidRPr="005E5FD8">
              <w:rPr>
                <w:rFonts w:asciiTheme="majorBidi" w:hAnsiTheme="majorBidi" w:cstheme="majorBidi"/>
                <w:sz w:val="24"/>
                <w:szCs w:val="24"/>
                <w:lang w:eastAsia="en-US"/>
              </w:rPr>
              <w:t xml:space="preserve">Якщо договір (договори), зазначені учасником як аналогічні згідно довідки з інформацією про наявність досвіду виконання аналогічного (аналогічних) договору (договорів) розміщений (розміщені) в електронній системі закупівлі та знаходиться (знаходяться) у вільному доступі, учаснику достатньо повідомити про це замовника шляхом надання довідки з відповідною інформацією. Довідка подається у вигляді сканованої копії або у формі електронного документа із накладанням КЕП. В такому разі, замовник самостійно перевіряє інформацію про аналогічний (аналогічні) договір (договори) на його (їх) відповідність умовам, визначених цим оголошенням про проведення спрощеної закупівлі. Документи надаються у вигляді сканованих копій. </w:t>
            </w:r>
          </w:p>
          <w:p w14:paraId="17465150" w14:textId="77777777" w:rsidR="00966B7B" w:rsidRPr="005E5FD8" w:rsidRDefault="00966B7B" w:rsidP="006E6303">
            <w:pPr>
              <w:spacing w:after="0" w:line="240" w:lineRule="atLeast"/>
              <w:ind w:firstLine="322"/>
              <w:jc w:val="both"/>
              <w:rPr>
                <w:rFonts w:asciiTheme="majorBidi" w:hAnsiTheme="majorBidi" w:cstheme="majorBidi"/>
                <w:sz w:val="24"/>
                <w:szCs w:val="24"/>
                <w:lang w:eastAsia="en-US"/>
              </w:rPr>
            </w:pPr>
            <w:r w:rsidRPr="005E5FD8">
              <w:rPr>
                <w:rFonts w:asciiTheme="majorBidi" w:hAnsiTheme="majorBidi" w:cstheme="majorBidi"/>
                <w:sz w:val="24"/>
                <w:szCs w:val="24"/>
                <w:lang w:eastAsia="en-US"/>
              </w:rPr>
              <w:t>1.2. Документ (документи), що підтверджують виконання зобов’язань за договором (договорами) зазначеним (зазначеними) у довідці з інформацією про наявність досвіду виконання аналогічного (аналогічних) договору (договорів):</w:t>
            </w:r>
          </w:p>
          <w:p w14:paraId="7FAA1944" w14:textId="77777777" w:rsidR="00966B7B" w:rsidRPr="005E5FD8" w:rsidRDefault="00966B7B" w:rsidP="006E6303">
            <w:pPr>
              <w:spacing w:after="0" w:line="240" w:lineRule="atLeast"/>
              <w:jc w:val="both"/>
              <w:rPr>
                <w:rFonts w:asciiTheme="majorBidi" w:hAnsiTheme="majorBidi" w:cstheme="majorBidi"/>
                <w:sz w:val="24"/>
                <w:szCs w:val="24"/>
                <w:lang w:eastAsia="en-US"/>
              </w:rPr>
            </w:pPr>
            <w:r w:rsidRPr="005E5FD8">
              <w:rPr>
                <w:rFonts w:asciiTheme="majorBidi" w:hAnsiTheme="majorBidi" w:cstheme="majorBidi"/>
                <w:sz w:val="24"/>
                <w:szCs w:val="24"/>
                <w:lang w:eastAsia="en-US"/>
              </w:rPr>
              <w:t>- або акти приймання наданих послуг. Надаються у вигляді сканованих копій;</w:t>
            </w:r>
          </w:p>
          <w:p w14:paraId="3B98302D" w14:textId="77777777" w:rsidR="00966B7B" w:rsidRPr="005E5FD8" w:rsidRDefault="00966B7B" w:rsidP="006E6303">
            <w:pPr>
              <w:spacing w:after="0" w:line="240" w:lineRule="atLeast"/>
              <w:jc w:val="both"/>
              <w:rPr>
                <w:rFonts w:asciiTheme="majorBidi" w:hAnsiTheme="majorBidi" w:cstheme="majorBidi"/>
                <w:sz w:val="24"/>
                <w:szCs w:val="24"/>
                <w:lang w:eastAsia="en-US"/>
              </w:rPr>
            </w:pPr>
            <w:r w:rsidRPr="005E5FD8">
              <w:rPr>
                <w:rFonts w:asciiTheme="majorBidi" w:hAnsiTheme="majorBidi" w:cstheme="majorBidi"/>
                <w:sz w:val="24"/>
                <w:szCs w:val="24"/>
                <w:lang w:eastAsia="en-US"/>
              </w:rPr>
              <w:lastRenderedPageBreak/>
              <w:t xml:space="preserve">- або позитивний лист-відгук про виконання аналогічного (аналогічних) договору (договорів) від замовника, що виступає стороною по наданому у складі пропозиції аналогічному (аналогічних) договору (договорів) та зазначеному (зазначених) у довідці з інформацією про наявність досвіду виконання аналогічного (аналогічних) договору (договорів). </w:t>
            </w:r>
          </w:p>
          <w:p w14:paraId="587D0C88" w14:textId="77777777" w:rsidR="00966B7B" w:rsidRPr="005E5FD8" w:rsidRDefault="00966B7B" w:rsidP="006E6303">
            <w:pPr>
              <w:spacing w:after="0" w:line="240" w:lineRule="atLeast"/>
              <w:ind w:firstLine="289"/>
              <w:jc w:val="both"/>
              <w:rPr>
                <w:rFonts w:asciiTheme="majorBidi" w:hAnsiTheme="majorBidi" w:cstheme="majorBidi"/>
                <w:sz w:val="24"/>
                <w:szCs w:val="24"/>
                <w:lang w:eastAsia="en-US"/>
              </w:rPr>
            </w:pPr>
            <w:r w:rsidRPr="005E5FD8">
              <w:rPr>
                <w:rFonts w:asciiTheme="majorBidi" w:hAnsiTheme="majorBidi" w:cstheme="majorBidi"/>
                <w:sz w:val="24"/>
                <w:szCs w:val="24"/>
                <w:lang w:eastAsia="en-US"/>
              </w:rPr>
              <w:t>Лист-відгук має бути підписаний замовником/уповноваженою особою замовника та завірений печаткою (у випадку використання печатки замовником в своїй господарській діяльності та при оформленні документів). Лист-відгук подається у вигляді сканованої копії або у формі електронного документа із накладанням КЕП замовника/ уповноваженої особи замовника.</w:t>
            </w:r>
          </w:p>
          <w:p w14:paraId="5056A39C" w14:textId="77777777" w:rsidR="00966B7B" w:rsidRPr="005E5FD8" w:rsidRDefault="00966B7B" w:rsidP="00966B7B">
            <w:pPr>
              <w:numPr>
                <w:ilvl w:val="0"/>
                <w:numId w:val="3"/>
              </w:numPr>
              <w:spacing w:after="0" w:line="240" w:lineRule="atLeast"/>
              <w:ind w:left="0" w:firstLine="0"/>
              <w:contextualSpacing/>
              <w:jc w:val="both"/>
              <w:rPr>
                <w:rFonts w:asciiTheme="majorBidi" w:hAnsiTheme="majorBidi" w:cstheme="majorBidi"/>
                <w:sz w:val="24"/>
                <w:szCs w:val="24"/>
                <w:lang w:eastAsia="en-US"/>
              </w:rPr>
            </w:pPr>
            <w:r w:rsidRPr="005E5FD8">
              <w:rPr>
                <w:rFonts w:asciiTheme="majorBidi" w:hAnsiTheme="majorBidi" w:cstheme="majorBidi"/>
                <w:sz w:val="24"/>
                <w:szCs w:val="24"/>
                <w:lang w:eastAsia="en-US"/>
              </w:rPr>
              <w:t>Наявність в Учасника чинного сертифікату відповідності  продукції - послуг з проектування, монтування, технічного обслуговування та ремонту систем  охоронної сигналізації вимогам на відповідність вимогам:</w:t>
            </w:r>
          </w:p>
          <w:p w14:paraId="26CF6839" w14:textId="77777777" w:rsidR="00966B7B" w:rsidRPr="005E5FD8" w:rsidRDefault="00966B7B" w:rsidP="006E6303">
            <w:pPr>
              <w:spacing w:after="0" w:line="240" w:lineRule="atLeast"/>
              <w:jc w:val="both"/>
              <w:rPr>
                <w:rFonts w:asciiTheme="majorBidi" w:hAnsiTheme="majorBidi" w:cstheme="majorBidi"/>
                <w:sz w:val="24"/>
                <w:szCs w:val="24"/>
                <w:lang w:eastAsia="en-US"/>
              </w:rPr>
            </w:pPr>
            <w:r w:rsidRPr="005E5FD8">
              <w:rPr>
                <w:rFonts w:asciiTheme="majorBidi" w:hAnsiTheme="majorBidi" w:cstheme="majorBidi"/>
                <w:sz w:val="24"/>
                <w:szCs w:val="24"/>
                <w:lang w:eastAsia="en-US"/>
              </w:rPr>
              <w:t>ДСТУ CLC/TS 50131-7:2014 Системи тривожної сигналізації. Системи охоронної сигналізації. Правила застосування.</w:t>
            </w:r>
          </w:p>
          <w:p w14:paraId="7DDE104B" w14:textId="77777777" w:rsidR="00966B7B" w:rsidRPr="005E5FD8" w:rsidRDefault="00966B7B" w:rsidP="006E6303">
            <w:pPr>
              <w:spacing w:after="0" w:line="240" w:lineRule="atLeast"/>
              <w:jc w:val="both"/>
              <w:rPr>
                <w:rFonts w:asciiTheme="majorBidi" w:hAnsiTheme="majorBidi" w:cstheme="majorBidi"/>
                <w:sz w:val="24"/>
                <w:szCs w:val="24"/>
                <w:lang w:eastAsia="en-US"/>
              </w:rPr>
            </w:pPr>
            <w:r w:rsidRPr="005E5FD8">
              <w:rPr>
                <w:rFonts w:asciiTheme="majorBidi" w:hAnsiTheme="majorBidi" w:cstheme="majorBidi"/>
                <w:sz w:val="24"/>
                <w:szCs w:val="24"/>
                <w:lang w:eastAsia="en-US"/>
              </w:rPr>
              <w:t xml:space="preserve">ДСТУ EN 16763:2017 Послуги та роботи щодо систем протипожежного захисту та систем охоронного призначення </w:t>
            </w:r>
          </w:p>
          <w:p w14:paraId="4B241949" w14:textId="77777777" w:rsidR="00966B7B" w:rsidRPr="005E5FD8" w:rsidRDefault="00966B7B" w:rsidP="006E6303">
            <w:pPr>
              <w:spacing w:after="0" w:line="240" w:lineRule="atLeast"/>
              <w:ind w:firstLine="322"/>
              <w:jc w:val="both"/>
              <w:rPr>
                <w:rFonts w:asciiTheme="majorBidi" w:hAnsiTheme="majorBidi" w:cstheme="majorBidi"/>
                <w:sz w:val="24"/>
                <w:szCs w:val="24"/>
                <w:lang w:eastAsia="en-US"/>
              </w:rPr>
            </w:pPr>
            <w:r w:rsidRPr="005E5FD8">
              <w:rPr>
                <w:rFonts w:asciiTheme="majorBidi" w:hAnsiTheme="majorBidi" w:cstheme="majorBidi"/>
                <w:sz w:val="24"/>
                <w:szCs w:val="24"/>
                <w:lang w:eastAsia="en-US"/>
              </w:rPr>
              <w:t xml:space="preserve">На підтвердження надати копії сертифікатів та актів оцінювання процесів надання послуг, виданих органом з оцінки відповідності. </w:t>
            </w:r>
          </w:p>
          <w:p w14:paraId="42EAF217" w14:textId="77777777" w:rsidR="00966B7B" w:rsidRPr="005E5FD8" w:rsidRDefault="00966B7B" w:rsidP="006E6303">
            <w:pPr>
              <w:spacing w:after="0" w:line="240" w:lineRule="atLeast"/>
              <w:jc w:val="both"/>
              <w:rPr>
                <w:rFonts w:asciiTheme="majorBidi" w:hAnsiTheme="majorBidi" w:cstheme="majorBidi"/>
                <w:sz w:val="24"/>
                <w:szCs w:val="24"/>
                <w:lang w:eastAsia="en-US"/>
              </w:rPr>
            </w:pPr>
          </w:p>
          <w:p w14:paraId="4A563DC3" w14:textId="77777777" w:rsidR="00966B7B" w:rsidRPr="005E5FD8" w:rsidRDefault="00966B7B" w:rsidP="006E6303">
            <w:pPr>
              <w:spacing w:after="0" w:line="240" w:lineRule="atLeast"/>
              <w:jc w:val="center"/>
              <w:rPr>
                <w:rFonts w:asciiTheme="majorBidi" w:hAnsiTheme="majorBidi" w:cstheme="majorBidi"/>
                <w:b/>
                <w:bCs/>
                <w:sz w:val="24"/>
                <w:szCs w:val="24"/>
                <w:lang w:eastAsia="en-US"/>
              </w:rPr>
            </w:pPr>
          </w:p>
        </w:tc>
      </w:tr>
    </w:tbl>
    <w:p w14:paraId="449DCB17" w14:textId="77777777" w:rsidR="00966B7B" w:rsidRPr="005E5FD8" w:rsidRDefault="00966B7B" w:rsidP="00966B7B">
      <w:pPr>
        <w:spacing w:after="0" w:line="240" w:lineRule="atLeast"/>
        <w:jc w:val="center"/>
        <w:rPr>
          <w:rFonts w:asciiTheme="majorBidi" w:hAnsiTheme="majorBidi" w:cstheme="majorBidi"/>
          <w:b/>
          <w:bCs/>
          <w:sz w:val="24"/>
          <w:szCs w:val="24"/>
          <w:lang w:eastAsia="en-US"/>
        </w:rPr>
      </w:pPr>
    </w:p>
    <w:p w14:paraId="7484FF0E" w14:textId="77777777" w:rsidR="00966B7B" w:rsidRPr="005E5FD8" w:rsidRDefault="00966B7B" w:rsidP="00966B7B">
      <w:pPr>
        <w:spacing w:after="0" w:line="240" w:lineRule="atLeast"/>
        <w:jc w:val="both"/>
        <w:rPr>
          <w:rFonts w:asciiTheme="majorBidi" w:hAnsiTheme="majorBidi" w:cstheme="majorBidi"/>
          <w:sz w:val="24"/>
          <w:szCs w:val="24"/>
          <w:lang w:eastAsia="en-US"/>
        </w:rPr>
      </w:pPr>
      <w:r w:rsidRPr="005E5FD8">
        <w:rPr>
          <w:rFonts w:asciiTheme="majorBidi" w:hAnsiTheme="majorBidi" w:cstheme="majorBidi"/>
          <w:sz w:val="24"/>
          <w:szCs w:val="24"/>
          <w:lang w:eastAsia="en-US"/>
        </w:rPr>
        <w:t xml:space="preserve">* </w:t>
      </w:r>
      <w:r w:rsidRPr="005E5FD8">
        <w:rPr>
          <w:rFonts w:asciiTheme="majorBidi" w:hAnsiTheme="majorBidi" w:cstheme="majorBidi"/>
          <w:sz w:val="24"/>
          <w:szCs w:val="24"/>
          <w:shd w:val="clear" w:color="auto" w:fill="FFFFFF"/>
          <w:lang w:eastAsia="en-US"/>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5E5FD8">
        <w:rPr>
          <w:rFonts w:asciiTheme="majorBidi" w:hAnsiTheme="majorBidi" w:cstheme="majorBidi"/>
          <w:sz w:val="24"/>
          <w:szCs w:val="24"/>
          <w:shd w:val="clear" w:color="auto" w:fill="FFFFFF"/>
          <w:lang w:val="ru-RU" w:eastAsia="en-US"/>
        </w:rPr>
        <w:t> </w:t>
      </w:r>
      <w:r w:rsidRPr="005E5FD8">
        <w:rPr>
          <w:rFonts w:asciiTheme="majorBidi" w:hAnsiTheme="majorBidi" w:cstheme="majorBidi"/>
          <w:sz w:val="24"/>
          <w:szCs w:val="24"/>
          <w:shd w:val="clear" w:color="auto" w:fill="FFFFFF"/>
          <w:lang w:eastAsia="en-US"/>
        </w:rPr>
        <w:t>пунктом 44 Особливостей.</w:t>
      </w:r>
    </w:p>
    <w:p w14:paraId="2D39A3CA" w14:textId="77777777" w:rsidR="00966B7B" w:rsidRPr="005E5FD8" w:rsidRDefault="00966B7B" w:rsidP="00966B7B">
      <w:pPr>
        <w:spacing w:after="0" w:line="240" w:lineRule="atLeast"/>
        <w:jc w:val="both"/>
        <w:rPr>
          <w:rFonts w:asciiTheme="majorBidi" w:hAnsiTheme="majorBidi" w:cstheme="majorBidi"/>
          <w:sz w:val="24"/>
          <w:szCs w:val="24"/>
          <w:lang w:eastAsia="en-US"/>
        </w:rPr>
      </w:pPr>
    </w:p>
    <w:p w14:paraId="174D3ED9" w14:textId="77777777" w:rsidR="00966B7B" w:rsidRPr="005E5FD8" w:rsidRDefault="00966B7B" w:rsidP="00966B7B">
      <w:pPr>
        <w:spacing w:after="0" w:line="240" w:lineRule="atLeast"/>
        <w:rPr>
          <w:rFonts w:asciiTheme="majorBidi" w:hAnsiTheme="majorBidi" w:cstheme="majorBidi"/>
          <w:sz w:val="24"/>
          <w:szCs w:val="24"/>
          <w:lang w:eastAsia="en-US"/>
        </w:rPr>
      </w:pPr>
    </w:p>
    <w:p w14:paraId="0970C2BB" w14:textId="77777777" w:rsidR="00966B7B" w:rsidRPr="005E5FD8" w:rsidRDefault="00966B7B" w:rsidP="00966B7B">
      <w:pPr>
        <w:spacing w:after="0" w:line="240" w:lineRule="atLeast"/>
        <w:rPr>
          <w:rFonts w:asciiTheme="majorBidi" w:hAnsiTheme="majorBidi" w:cstheme="majorBidi"/>
          <w:b/>
          <w:bCs/>
          <w:sz w:val="24"/>
          <w:szCs w:val="24"/>
          <w:lang w:eastAsia="en-US"/>
        </w:rPr>
      </w:pPr>
    </w:p>
    <w:p w14:paraId="45EB46BE" w14:textId="77777777" w:rsidR="00966B7B" w:rsidRPr="005E5FD8" w:rsidRDefault="00966B7B" w:rsidP="00966B7B">
      <w:pPr>
        <w:spacing w:after="0" w:line="240" w:lineRule="atLeast"/>
        <w:rPr>
          <w:rFonts w:asciiTheme="majorBidi" w:hAnsiTheme="majorBidi" w:cstheme="majorBidi"/>
          <w:b/>
          <w:bCs/>
          <w:sz w:val="24"/>
          <w:szCs w:val="24"/>
          <w:lang w:eastAsia="en-US"/>
        </w:rPr>
      </w:pPr>
      <w:r w:rsidRPr="005E5FD8">
        <w:rPr>
          <w:rFonts w:asciiTheme="majorBidi" w:hAnsiTheme="majorBidi" w:cstheme="majorBidi"/>
          <w:b/>
          <w:bCs/>
          <w:sz w:val="24"/>
          <w:szCs w:val="24"/>
          <w:lang w:eastAsia="en-US"/>
        </w:rPr>
        <w:br w:type="page"/>
      </w:r>
    </w:p>
    <w:p w14:paraId="6E05B373" w14:textId="77777777" w:rsidR="00966B7B" w:rsidRPr="005E5FD8" w:rsidRDefault="00966B7B" w:rsidP="00966B7B">
      <w:pPr>
        <w:spacing w:after="0" w:line="240" w:lineRule="atLeast"/>
        <w:jc w:val="center"/>
        <w:rPr>
          <w:rFonts w:asciiTheme="majorBidi" w:hAnsiTheme="majorBidi" w:cstheme="majorBidi"/>
          <w:b/>
          <w:bCs/>
          <w:sz w:val="24"/>
          <w:szCs w:val="24"/>
          <w:lang w:eastAsia="en-US"/>
        </w:rPr>
      </w:pPr>
      <w:r w:rsidRPr="005E5FD8">
        <w:rPr>
          <w:rFonts w:asciiTheme="majorBidi" w:hAnsiTheme="majorBidi" w:cstheme="majorBidi"/>
          <w:b/>
          <w:bCs/>
          <w:sz w:val="24"/>
          <w:szCs w:val="24"/>
          <w:lang w:eastAsia="en-US"/>
        </w:rPr>
        <w:lastRenderedPageBreak/>
        <w:t>Підстави для відмови в участі</w:t>
      </w:r>
    </w:p>
    <w:p w14:paraId="6BC2271B" w14:textId="77777777" w:rsidR="00966B7B" w:rsidRPr="005E5FD8" w:rsidRDefault="00966B7B" w:rsidP="00966B7B">
      <w:pPr>
        <w:numPr>
          <w:ilvl w:val="1"/>
          <w:numId w:val="1"/>
        </w:numPr>
        <w:shd w:val="clear" w:color="auto" w:fill="FFFFFF"/>
        <w:suppressAutoHyphens/>
        <w:spacing w:after="0" w:line="240" w:lineRule="atLeast"/>
        <w:ind w:left="0" w:firstLine="709"/>
        <w:contextualSpacing/>
        <w:jc w:val="both"/>
        <w:rPr>
          <w:rFonts w:asciiTheme="majorBidi" w:hAnsiTheme="majorBidi" w:cstheme="majorBidi"/>
          <w:b/>
          <w:sz w:val="24"/>
          <w:szCs w:val="24"/>
          <w:lang w:eastAsia="en-US"/>
        </w:rPr>
      </w:pPr>
      <w:bookmarkStart w:id="0" w:name="_Hlk40114364"/>
      <w:r w:rsidRPr="005E5FD8">
        <w:rPr>
          <w:rFonts w:asciiTheme="majorBidi" w:hAnsiTheme="majorBidi" w:cstheme="majorBidi"/>
          <w:sz w:val="24"/>
          <w:szCs w:val="24"/>
          <w:lang w:eastAsia="en-US"/>
        </w:rPr>
        <w:t xml:space="preserve">Учасник процедури закупівлі в електронній системі </w:t>
      </w:r>
      <w:proofErr w:type="spellStart"/>
      <w:r w:rsidRPr="005E5FD8">
        <w:rPr>
          <w:rFonts w:asciiTheme="majorBidi" w:hAnsiTheme="majorBidi" w:cstheme="majorBidi"/>
          <w:sz w:val="24"/>
          <w:szCs w:val="24"/>
          <w:lang w:eastAsia="en-US"/>
        </w:rPr>
        <w:t>закупівель</w:t>
      </w:r>
      <w:proofErr w:type="spellEnd"/>
      <w:r w:rsidRPr="005E5FD8">
        <w:rPr>
          <w:rFonts w:asciiTheme="majorBidi" w:hAnsiTheme="majorBidi" w:cstheme="majorBidi"/>
          <w:sz w:val="24"/>
          <w:szCs w:val="24"/>
          <w:lang w:eastAsia="en-US"/>
        </w:rPr>
        <w:t xml:space="preserve"> підтверджує відсутність підстав, передбачених частиною першою статті 17 Закону</w:t>
      </w:r>
      <w:r w:rsidRPr="005E5FD8">
        <w:rPr>
          <w:rFonts w:asciiTheme="majorBidi" w:hAnsiTheme="majorBidi" w:cstheme="majorBidi"/>
          <w:sz w:val="24"/>
          <w:szCs w:val="24"/>
          <w:u w:val="single"/>
          <w:lang w:eastAsia="en-US"/>
        </w:rPr>
        <w:t xml:space="preserve"> </w:t>
      </w:r>
      <w:r w:rsidRPr="005E5FD8">
        <w:rPr>
          <w:rFonts w:asciiTheme="majorBidi" w:hAnsiTheme="majorBidi" w:cstheme="majorBidi"/>
          <w:sz w:val="24"/>
          <w:szCs w:val="24"/>
          <w:lang w:eastAsia="en-US"/>
        </w:rPr>
        <w:t xml:space="preserve">шляхом самостійного декларування відсутності таких підстав в електронній системі </w:t>
      </w:r>
      <w:proofErr w:type="spellStart"/>
      <w:r w:rsidRPr="005E5FD8">
        <w:rPr>
          <w:rFonts w:asciiTheme="majorBidi" w:hAnsiTheme="majorBidi" w:cstheme="majorBidi"/>
          <w:sz w:val="24"/>
          <w:szCs w:val="24"/>
          <w:lang w:eastAsia="en-US"/>
        </w:rPr>
        <w:t>закупівель</w:t>
      </w:r>
      <w:proofErr w:type="spellEnd"/>
      <w:r w:rsidRPr="005E5FD8">
        <w:rPr>
          <w:rFonts w:asciiTheme="majorBidi" w:hAnsiTheme="majorBidi" w:cstheme="majorBidi"/>
          <w:sz w:val="24"/>
          <w:szCs w:val="24"/>
          <w:lang w:eastAsia="en-US"/>
        </w:rPr>
        <w:t xml:space="preserve"> під час подання тендерної пропозиції. </w:t>
      </w:r>
    </w:p>
    <w:p w14:paraId="1263190B" w14:textId="77777777" w:rsidR="00966B7B" w:rsidRPr="005E5FD8" w:rsidRDefault="00966B7B" w:rsidP="00966B7B">
      <w:pPr>
        <w:widowControl w:val="0"/>
        <w:numPr>
          <w:ilvl w:val="1"/>
          <w:numId w:val="1"/>
        </w:numPr>
        <w:shd w:val="clear" w:color="auto" w:fill="FFFFFF"/>
        <w:spacing w:after="0" w:line="240" w:lineRule="atLeast"/>
        <w:ind w:left="0" w:firstLine="709"/>
        <w:contextualSpacing/>
        <w:jc w:val="both"/>
        <w:rPr>
          <w:rFonts w:asciiTheme="majorBidi" w:eastAsia="Arial" w:hAnsiTheme="majorBidi" w:cstheme="majorBidi"/>
          <w:sz w:val="24"/>
          <w:szCs w:val="24"/>
          <w:lang w:eastAsia="ru-RU"/>
        </w:rPr>
      </w:pPr>
      <w:r w:rsidRPr="005E5FD8">
        <w:rPr>
          <w:rFonts w:asciiTheme="majorBidi" w:eastAsia="Arial" w:hAnsiTheme="majorBidi" w:cstheme="majorBidi"/>
          <w:sz w:val="24"/>
          <w:szCs w:val="24"/>
          <w:shd w:val="clear" w:color="auto" w:fill="FFFFFF"/>
          <w:lang w:eastAsia="ru-RU"/>
        </w:rPr>
        <w:t xml:space="preserve">Об’єднання учасників в електронній системі </w:t>
      </w:r>
      <w:proofErr w:type="spellStart"/>
      <w:r w:rsidRPr="005E5FD8">
        <w:rPr>
          <w:rFonts w:asciiTheme="majorBidi" w:eastAsia="Arial" w:hAnsiTheme="majorBidi" w:cstheme="majorBidi"/>
          <w:sz w:val="24"/>
          <w:szCs w:val="24"/>
          <w:shd w:val="clear" w:color="auto" w:fill="FFFFFF"/>
          <w:lang w:eastAsia="ru-RU"/>
        </w:rPr>
        <w:t>закупівель</w:t>
      </w:r>
      <w:proofErr w:type="spellEnd"/>
      <w:r w:rsidRPr="005E5FD8">
        <w:rPr>
          <w:rFonts w:asciiTheme="majorBidi" w:eastAsia="Arial" w:hAnsiTheme="majorBidi" w:cstheme="majorBidi"/>
          <w:sz w:val="24"/>
          <w:szCs w:val="24"/>
          <w:shd w:val="clear" w:color="auto" w:fill="FFFFFF"/>
          <w:lang w:eastAsia="ru-RU"/>
        </w:rPr>
        <w:t xml:space="preserve"> під час подання тендерної пропозиції підтверджує відсутність підстав, передбачених пунктами 5, 6, 12 частини першої та частиною другою статті 17 Закону, у вигляді довідок (зведеної довідки, тощо), складених у довільній формі, зміст яких підтверджує відсутність відповідних підстав для відмови в участі у процедурі закупівлі самого об’єднання як юридичної особи так і учасників (по кожному з учасників), які входять у склад об’єднання окремо.</w:t>
      </w:r>
    </w:p>
    <w:p w14:paraId="7EC47390" w14:textId="77777777" w:rsidR="00966B7B" w:rsidRPr="005E5FD8" w:rsidRDefault="00966B7B" w:rsidP="00966B7B">
      <w:pPr>
        <w:widowControl w:val="0"/>
        <w:numPr>
          <w:ilvl w:val="1"/>
          <w:numId w:val="1"/>
        </w:numPr>
        <w:shd w:val="clear" w:color="auto" w:fill="FFFFFF"/>
        <w:spacing w:after="0" w:line="240" w:lineRule="atLeast"/>
        <w:ind w:left="0" w:firstLine="709"/>
        <w:contextualSpacing/>
        <w:jc w:val="both"/>
        <w:rPr>
          <w:rFonts w:asciiTheme="majorBidi" w:eastAsia="Arial" w:hAnsiTheme="majorBidi" w:cstheme="majorBidi"/>
          <w:sz w:val="24"/>
          <w:szCs w:val="24"/>
          <w:shd w:val="clear" w:color="auto" w:fill="FFFFFF"/>
          <w:lang w:eastAsia="ru-RU"/>
        </w:rPr>
      </w:pPr>
      <w:r w:rsidRPr="005E5FD8">
        <w:rPr>
          <w:rFonts w:asciiTheme="majorBidi" w:eastAsia="Arial" w:hAnsiTheme="majorBidi" w:cstheme="majorBidi"/>
          <w:sz w:val="24"/>
          <w:szCs w:val="24"/>
          <w:shd w:val="clear" w:color="auto" w:fill="FFFFFF"/>
          <w:lang w:eastAsia="ru-RU"/>
        </w:rPr>
        <w:t xml:space="preserve">Розміщення інформації в електронній системі </w:t>
      </w:r>
      <w:proofErr w:type="spellStart"/>
      <w:r w:rsidRPr="005E5FD8">
        <w:rPr>
          <w:rFonts w:asciiTheme="majorBidi" w:eastAsia="Arial" w:hAnsiTheme="majorBidi" w:cstheme="majorBidi"/>
          <w:sz w:val="24"/>
          <w:szCs w:val="24"/>
          <w:shd w:val="clear" w:color="auto" w:fill="FFFFFF"/>
          <w:lang w:eastAsia="ru-RU"/>
        </w:rPr>
        <w:t>закупівель</w:t>
      </w:r>
      <w:proofErr w:type="spellEnd"/>
      <w:r w:rsidRPr="005E5FD8">
        <w:rPr>
          <w:rFonts w:asciiTheme="majorBidi" w:eastAsia="Arial" w:hAnsiTheme="majorBidi" w:cstheme="majorBidi"/>
          <w:sz w:val="24"/>
          <w:szCs w:val="24"/>
          <w:shd w:val="clear" w:color="auto" w:fill="FFFFFF"/>
          <w:lang w:eastAsia="ru-RU"/>
        </w:rPr>
        <w:t xml:space="preserve"> здійснюється учасником шляхом заповнення електронних полів, визначених адміністратором електронної системи </w:t>
      </w:r>
      <w:proofErr w:type="spellStart"/>
      <w:r w:rsidRPr="005E5FD8">
        <w:rPr>
          <w:rFonts w:asciiTheme="majorBidi" w:eastAsia="Arial" w:hAnsiTheme="majorBidi" w:cstheme="majorBidi"/>
          <w:sz w:val="24"/>
          <w:szCs w:val="24"/>
          <w:shd w:val="clear" w:color="auto" w:fill="FFFFFF"/>
          <w:lang w:eastAsia="ru-RU"/>
        </w:rPr>
        <w:t>закупівель</w:t>
      </w:r>
      <w:proofErr w:type="spellEnd"/>
      <w:r w:rsidRPr="005E5FD8">
        <w:rPr>
          <w:rFonts w:asciiTheme="majorBidi" w:eastAsia="Arial" w:hAnsiTheme="majorBidi" w:cstheme="majorBidi"/>
          <w:sz w:val="24"/>
          <w:szCs w:val="24"/>
          <w:shd w:val="clear" w:color="auto" w:fill="FFFFFF"/>
          <w:lang w:eastAsia="ru-RU"/>
        </w:rPr>
        <w:t xml:space="preserve"> і реалізованих в електронній системі </w:t>
      </w:r>
      <w:proofErr w:type="spellStart"/>
      <w:r w:rsidRPr="005E5FD8">
        <w:rPr>
          <w:rFonts w:asciiTheme="majorBidi" w:eastAsia="Arial" w:hAnsiTheme="majorBidi" w:cstheme="majorBidi"/>
          <w:sz w:val="24"/>
          <w:szCs w:val="24"/>
          <w:shd w:val="clear" w:color="auto" w:fill="FFFFFF"/>
          <w:lang w:eastAsia="ru-RU"/>
        </w:rPr>
        <w:t>закупівель</w:t>
      </w:r>
      <w:proofErr w:type="spellEnd"/>
      <w:r w:rsidRPr="005E5FD8">
        <w:rPr>
          <w:rFonts w:asciiTheme="majorBidi" w:eastAsia="Arial" w:hAnsiTheme="majorBidi" w:cstheme="majorBidi"/>
          <w:sz w:val="24"/>
          <w:szCs w:val="24"/>
          <w:shd w:val="clear" w:color="auto" w:fill="FFFFFF"/>
          <w:lang w:eastAsia="ru-RU"/>
        </w:rPr>
        <w:t xml:space="preserve"> та/або завантаженням відповідних документів через автоматизоване робоче місце учасника.</w:t>
      </w:r>
    </w:p>
    <w:p w14:paraId="519260D5" w14:textId="77777777" w:rsidR="00966B7B" w:rsidRPr="005E5FD8" w:rsidRDefault="00966B7B" w:rsidP="00966B7B">
      <w:pPr>
        <w:widowControl w:val="0"/>
        <w:numPr>
          <w:ilvl w:val="1"/>
          <w:numId w:val="1"/>
        </w:numPr>
        <w:shd w:val="clear" w:color="auto" w:fill="FFFFFF"/>
        <w:spacing w:after="0" w:line="240" w:lineRule="atLeast"/>
        <w:ind w:left="0" w:firstLine="709"/>
        <w:contextualSpacing/>
        <w:jc w:val="both"/>
        <w:rPr>
          <w:rFonts w:asciiTheme="majorBidi" w:eastAsia="Arial" w:hAnsiTheme="majorBidi" w:cstheme="majorBidi"/>
          <w:sz w:val="24"/>
          <w:szCs w:val="24"/>
          <w:shd w:val="clear" w:color="auto" w:fill="FFFFFF"/>
          <w:lang w:eastAsia="ru-RU"/>
        </w:rPr>
      </w:pPr>
      <w:r w:rsidRPr="005E5FD8">
        <w:rPr>
          <w:rFonts w:asciiTheme="majorBidi" w:eastAsia="Arial" w:hAnsiTheme="majorBidi" w:cstheme="majorBidi"/>
          <w:sz w:val="24"/>
          <w:szCs w:val="24"/>
          <w:shd w:val="clear" w:color="auto" w:fill="FFFFFF"/>
          <w:lang w:eastAsia="ru-RU"/>
        </w:rPr>
        <w:t xml:space="preserve">У разі якщо інформація, розміщена в електронній системі </w:t>
      </w:r>
      <w:proofErr w:type="spellStart"/>
      <w:r w:rsidRPr="005E5FD8">
        <w:rPr>
          <w:rFonts w:asciiTheme="majorBidi" w:eastAsia="Arial" w:hAnsiTheme="majorBidi" w:cstheme="majorBidi"/>
          <w:sz w:val="24"/>
          <w:szCs w:val="24"/>
          <w:shd w:val="clear" w:color="auto" w:fill="FFFFFF"/>
          <w:lang w:eastAsia="ru-RU"/>
        </w:rPr>
        <w:t>закупівель</w:t>
      </w:r>
      <w:proofErr w:type="spellEnd"/>
      <w:r w:rsidRPr="005E5FD8">
        <w:rPr>
          <w:rFonts w:asciiTheme="majorBidi" w:eastAsia="Arial" w:hAnsiTheme="majorBidi" w:cstheme="majorBidi"/>
          <w:sz w:val="24"/>
          <w:szCs w:val="24"/>
          <w:shd w:val="clear" w:color="auto" w:fill="FFFFFF"/>
          <w:lang w:eastAsia="ru-RU"/>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7799BF97" w14:textId="77777777" w:rsidR="00966B7B" w:rsidRPr="005E5FD8" w:rsidRDefault="00966B7B" w:rsidP="00966B7B">
      <w:pPr>
        <w:shd w:val="clear" w:color="auto" w:fill="FFFFFF"/>
        <w:spacing w:after="0" w:line="240" w:lineRule="atLeast"/>
        <w:contextualSpacing/>
        <w:jc w:val="both"/>
        <w:rPr>
          <w:rFonts w:asciiTheme="majorBidi" w:eastAsia="Arial" w:hAnsiTheme="majorBidi" w:cstheme="majorBidi"/>
          <w:sz w:val="24"/>
          <w:szCs w:val="24"/>
          <w:lang w:eastAsia="ru-RU"/>
        </w:rPr>
      </w:pPr>
    </w:p>
    <w:p w14:paraId="6057F97E" w14:textId="77777777" w:rsidR="00966B7B" w:rsidRPr="005E5FD8" w:rsidRDefault="00966B7B" w:rsidP="00966B7B">
      <w:pPr>
        <w:pBdr>
          <w:top w:val="nil"/>
          <w:left w:val="nil"/>
          <w:bottom w:val="nil"/>
          <w:right w:val="nil"/>
          <w:between w:val="nil"/>
        </w:pBdr>
        <w:shd w:val="clear" w:color="auto" w:fill="FFFFFF"/>
        <w:spacing w:after="0" w:line="240" w:lineRule="atLeast"/>
        <w:ind w:firstLine="709"/>
        <w:jc w:val="both"/>
        <w:rPr>
          <w:rFonts w:asciiTheme="majorBidi" w:hAnsiTheme="majorBidi" w:cstheme="majorBidi"/>
          <w:sz w:val="24"/>
          <w:szCs w:val="24"/>
          <w:lang w:eastAsia="en-US"/>
        </w:rPr>
      </w:pPr>
      <w:r w:rsidRPr="005E5FD8">
        <w:rPr>
          <w:rFonts w:asciiTheme="majorBidi" w:hAnsiTheme="majorBidi" w:cstheme="majorBidi"/>
          <w:sz w:val="24"/>
          <w:szCs w:val="24"/>
          <w:lang w:eastAsia="en-US"/>
        </w:rPr>
        <w:t xml:space="preserve">1.5 Переможець процедури закупівлі у строк, що не перевищує чотири дні з дати оприлюднення в електронній системі </w:t>
      </w:r>
      <w:proofErr w:type="spellStart"/>
      <w:r w:rsidRPr="005E5FD8">
        <w:rPr>
          <w:rFonts w:asciiTheme="majorBidi" w:hAnsiTheme="majorBidi" w:cstheme="majorBidi"/>
          <w:sz w:val="24"/>
          <w:szCs w:val="24"/>
          <w:lang w:eastAsia="en-US"/>
        </w:rPr>
        <w:t>закупівель</w:t>
      </w:r>
      <w:proofErr w:type="spellEnd"/>
      <w:r w:rsidRPr="005E5FD8">
        <w:rPr>
          <w:rFonts w:asciiTheme="majorBidi" w:hAnsiTheme="majorBidi" w:cstheme="majorBidi"/>
          <w:sz w:val="24"/>
          <w:szCs w:val="24"/>
          <w:lang w:eastAsia="en-US"/>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5E5FD8">
        <w:rPr>
          <w:rFonts w:asciiTheme="majorBidi" w:hAnsiTheme="majorBidi" w:cstheme="majorBidi"/>
          <w:sz w:val="24"/>
          <w:szCs w:val="24"/>
          <w:lang w:eastAsia="en-US"/>
        </w:rPr>
        <w:t>закупівель</w:t>
      </w:r>
      <w:proofErr w:type="spellEnd"/>
      <w:r w:rsidRPr="005E5FD8">
        <w:rPr>
          <w:rFonts w:asciiTheme="majorBidi" w:hAnsiTheme="majorBidi" w:cstheme="majorBidi"/>
          <w:sz w:val="24"/>
          <w:szCs w:val="24"/>
          <w:lang w:eastAsia="en-US"/>
        </w:rPr>
        <w:t>, що підтверджують відсутність підстав, визначених пунктами 3, 5, 6, 12 та  абзацу чотирнадцятого пункту 44 Особливостей, а саме:</w:t>
      </w:r>
    </w:p>
    <w:p w14:paraId="2A0B3782" w14:textId="77777777" w:rsidR="00966B7B" w:rsidRPr="005E5FD8" w:rsidRDefault="00966B7B" w:rsidP="00966B7B">
      <w:pPr>
        <w:pBdr>
          <w:top w:val="nil"/>
          <w:left w:val="nil"/>
          <w:bottom w:val="nil"/>
          <w:right w:val="nil"/>
          <w:between w:val="nil"/>
        </w:pBdr>
        <w:shd w:val="clear" w:color="auto" w:fill="FFFFFF"/>
        <w:spacing w:after="0" w:line="240" w:lineRule="atLeast"/>
        <w:ind w:firstLine="284"/>
        <w:jc w:val="both"/>
        <w:rPr>
          <w:rFonts w:asciiTheme="majorBidi" w:hAnsiTheme="majorBidi" w:cstheme="majorBidi"/>
          <w:sz w:val="24"/>
          <w:szCs w:val="24"/>
          <w:lang w:eastAsia="en-US"/>
        </w:rPr>
      </w:pPr>
      <w:r w:rsidRPr="005E5FD8">
        <w:rPr>
          <w:rFonts w:asciiTheme="majorBidi" w:hAnsiTheme="majorBidi" w:cstheme="majorBidi"/>
          <w:sz w:val="24"/>
          <w:szCs w:val="24"/>
          <w:lang w:eastAsia="en-US"/>
        </w:rPr>
        <w:t xml:space="preserve">- </w:t>
      </w:r>
      <w:r w:rsidRPr="005E5FD8">
        <w:rPr>
          <w:rFonts w:asciiTheme="majorBidi" w:hAnsiTheme="majorBidi" w:cstheme="majorBidi"/>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фізичну особу,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5E5FD8">
        <w:rPr>
          <w:rFonts w:asciiTheme="majorBidi" w:hAnsiTheme="majorBidi" w:cstheme="majorBidi"/>
          <w:sz w:val="24"/>
          <w:szCs w:val="24"/>
          <w:lang w:eastAsia="en-US"/>
        </w:rPr>
        <w:t xml:space="preserve"> (відповідно до </w:t>
      </w:r>
      <w:proofErr w:type="spellStart"/>
      <w:r w:rsidRPr="005E5FD8">
        <w:rPr>
          <w:rFonts w:asciiTheme="majorBidi" w:hAnsiTheme="majorBidi" w:cstheme="majorBidi"/>
          <w:sz w:val="24"/>
          <w:szCs w:val="24"/>
          <w:lang w:eastAsia="en-US"/>
        </w:rPr>
        <w:t>пп</w:t>
      </w:r>
      <w:proofErr w:type="spellEnd"/>
      <w:r w:rsidRPr="005E5FD8">
        <w:rPr>
          <w:rFonts w:asciiTheme="majorBidi" w:hAnsiTheme="majorBidi" w:cstheme="majorBidi"/>
          <w:sz w:val="24"/>
          <w:szCs w:val="24"/>
          <w:lang w:eastAsia="en-US"/>
        </w:rPr>
        <w:t>. 3 пункту 44 Особливостей);</w:t>
      </w:r>
    </w:p>
    <w:p w14:paraId="0B5D3CD0" w14:textId="77777777" w:rsidR="00966B7B" w:rsidRPr="005E5FD8" w:rsidRDefault="00966B7B" w:rsidP="00966B7B">
      <w:pPr>
        <w:numPr>
          <w:ilvl w:val="0"/>
          <w:numId w:val="2"/>
        </w:numPr>
        <w:pBdr>
          <w:top w:val="nil"/>
          <w:left w:val="nil"/>
          <w:bottom w:val="nil"/>
          <w:right w:val="nil"/>
          <w:between w:val="nil"/>
        </w:pBdr>
        <w:shd w:val="clear" w:color="auto" w:fill="FFFFFF"/>
        <w:spacing w:after="0" w:line="240" w:lineRule="atLeast"/>
        <w:ind w:left="0" w:firstLine="284"/>
        <w:contextualSpacing/>
        <w:jc w:val="both"/>
        <w:rPr>
          <w:rFonts w:asciiTheme="majorBidi" w:hAnsiTheme="majorBidi" w:cstheme="majorBidi"/>
          <w:sz w:val="24"/>
          <w:szCs w:val="24"/>
          <w:lang w:eastAsia="en-US"/>
        </w:rPr>
      </w:pPr>
      <w:r w:rsidRPr="005E5FD8">
        <w:rPr>
          <w:rFonts w:asciiTheme="majorBidi" w:hAnsiTheme="majorBidi" w:cstheme="majorBidi"/>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5E5FD8">
        <w:rPr>
          <w:rFonts w:asciiTheme="majorBidi" w:hAnsiTheme="majorBidi" w:cstheme="majorBidi"/>
          <w:sz w:val="24"/>
          <w:szCs w:val="24"/>
          <w:lang w:val="ru-RU" w:eastAsia="ru-RU"/>
        </w:rPr>
        <w:t> </w:t>
      </w:r>
      <w:r w:rsidRPr="005E5FD8">
        <w:rPr>
          <w:rFonts w:asciiTheme="majorBidi" w:hAnsiTheme="majorBidi" w:cstheme="majorBidi"/>
          <w:sz w:val="24"/>
          <w:szCs w:val="24"/>
          <w:lang w:eastAsia="ru-RU"/>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керівника учасника процедури. </w:t>
      </w:r>
      <w:r w:rsidRPr="005E5FD8">
        <w:rPr>
          <w:rFonts w:asciiTheme="majorBidi" w:hAnsiTheme="majorBidi" w:cstheme="majorBidi"/>
          <w:sz w:val="24"/>
          <w:szCs w:val="24"/>
          <w:lang w:val="ru-RU" w:eastAsia="ru-RU"/>
        </w:rPr>
        <w:t xml:space="preserve">Документ повинен бути не </w:t>
      </w:r>
      <w:proofErr w:type="spellStart"/>
      <w:r w:rsidRPr="005E5FD8">
        <w:rPr>
          <w:rFonts w:asciiTheme="majorBidi" w:hAnsiTheme="majorBidi" w:cstheme="majorBidi"/>
          <w:sz w:val="24"/>
          <w:szCs w:val="24"/>
          <w:lang w:val="ru-RU" w:eastAsia="ru-RU"/>
        </w:rPr>
        <w:t>більше</w:t>
      </w:r>
      <w:proofErr w:type="spellEnd"/>
      <w:r w:rsidRPr="005E5FD8">
        <w:rPr>
          <w:rFonts w:asciiTheme="majorBidi" w:hAnsiTheme="majorBidi" w:cstheme="majorBidi"/>
          <w:sz w:val="24"/>
          <w:szCs w:val="24"/>
          <w:lang w:val="ru-RU" w:eastAsia="ru-RU"/>
        </w:rPr>
        <w:t xml:space="preserve"> </w:t>
      </w:r>
      <w:r w:rsidRPr="005E5FD8">
        <w:rPr>
          <w:rFonts w:asciiTheme="majorBidi" w:hAnsiTheme="majorBidi" w:cstheme="majorBidi"/>
          <w:sz w:val="24"/>
          <w:szCs w:val="24"/>
          <w:lang w:eastAsia="ru-RU"/>
        </w:rPr>
        <w:t>два</w:t>
      </w:r>
      <w:proofErr w:type="spellStart"/>
      <w:r w:rsidRPr="005E5FD8">
        <w:rPr>
          <w:rFonts w:asciiTheme="majorBidi" w:hAnsiTheme="majorBidi" w:cstheme="majorBidi"/>
          <w:sz w:val="24"/>
          <w:szCs w:val="24"/>
          <w:lang w:val="ru-RU" w:eastAsia="ru-RU"/>
        </w:rPr>
        <w:t>дцятиденної</w:t>
      </w:r>
      <w:proofErr w:type="spellEnd"/>
      <w:r w:rsidRPr="005E5FD8">
        <w:rPr>
          <w:rFonts w:asciiTheme="majorBidi" w:hAnsiTheme="majorBidi" w:cstheme="majorBidi"/>
          <w:sz w:val="24"/>
          <w:szCs w:val="24"/>
          <w:lang w:val="ru-RU" w:eastAsia="ru-RU"/>
        </w:rPr>
        <w:t xml:space="preserve"> </w:t>
      </w:r>
      <w:proofErr w:type="spellStart"/>
      <w:r w:rsidRPr="005E5FD8">
        <w:rPr>
          <w:rFonts w:asciiTheme="majorBidi" w:hAnsiTheme="majorBidi" w:cstheme="majorBidi"/>
          <w:sz w:val="24"/>
          <w:szCs w:val="24"/>
          <w:lang w:val="ru-RU" w:eastAsia="ru-RU"/>
        </w:rPr>
        <w:t>давнини</w:t>
      </w:r>
      <w:proofErr w:type="spellEnd"/>
      <w:r w:rsidRPr="005E5FD8">
        <w:rPr>
          <w:rFonts w:asciiTheme="majorBidi" w:hAnsiTheme="majorBidi" w:cstheme="majorBidi"/>
          <w:sz w:val="24"/>
          <w:szCs w:val="24"/>
          <w:lang w:val="ru-RU" w:eastAsia="ru-RU"/>
        </w:rPr>
        <w:t xml:space="preserve"> </w:t>
      </w:r>
      <w:proofErr w:type="spellStart"/>
      <w:r w:rsidRPr="005E5FD8">
        <w:rPr>
          <w:rFonts w:asciiTheme="majorBidi" w:hAnsiTheme="majorBidi" w:cstheme="majorBidi"/>
          <w:sz w:val="24"/>
          <w:szCs w:val="24"/>
          <w:lang w:val="ru-RU" w:eastAsia="ru-RU"/>
        </w:rPr>
        <w:t>від</w:t>
      </w:r>
      <w:proofErr w:type="spellEnd"/>
      <w:r w:rsidRPr="005E5FD8">
        <w:rPr>
          <w:rFonts w:asciiTheme="majorBidi" w:hAnsiTheme="majorBidi" w:cstheme="majorBidi"/>
          <w:sz w:val="24"/>
          <w:szCs w:val="24"/>
          <w:lang w:val="ru-RU" w:eastAsia="ru-RU"/>
        </w:rPr>
        <w:t xml:space="preserve"> </w:t>
      </w:r>
      <w:proofErr w:type="spellStart"/>
      <w:r w:rsidRPr="005E5FD8">
        <w:rPr>
          <w:rFonts w:asciiTheme="majorBidi" w:hAnsiTheme="majorBidi" w:cstheme="majorBidi"/>
          <w:sz w:val="24"/>
          <w:szCs w:val="24"/>
          <w:lang w:val="ru-RU" w:eastAsia="ru-RU"/>
        </w:rPr>
        <w:t>дати</w:t>
      </w:r>
      <w:proofErr w:type="spellEnd"/>
      <w:r w:rsidRPr="005E5FD8">
        <w:rPr>
          <w:rFonts w:asciiTheme="majorBidi" w:hAnsiTheme="majorBidi" w:cstheme="majorBidi"/>
          <w:sz w:val="24"/>
          <w:szCs w:val="24"/>
          <w:lang w:val="ru-RU" w:eastAsia="ru-RU"/>
        </w:rPr>
        <w:t xml:space="preserve"> </w:t>
      </w:r>
      <w:proofErr w:type="spellStart"/>
      <w:r w:rsidRPr="005E5FD8">
        <w:rPr>
          <w:rFonts w:asciiTheme="majorBidi" w:hAnsiTheme="majorBidi" w:cstheme="majorBidi"/>
          <w:sz w:val="24"/>
          <w:szCs w:val="24"/>
          <w:lang w:val="ru-RU" w:eastAsia="ru-RU"/>
        </w:rPr>
        <w:t>подання</w:t>
      </w:r>
      <w:proofErr w:type="spellEnd"/>
      <w:r w:rsidRPr="005E5FD8">
        <w:rPr>
          <w:rFonts w:asciiTheme="majorBidi" w:hAnsiTheme="majorBidi" w:cstheme="majorBidi"/>
          <w:sz w:val="24"/>
          <w:szCs w:val="24"/>
          <w:lang w:val="ru-RU" w:eastAsia="ru-RU"/>
        </w:rPr>
        <w:t xml:space="preserve"> документа </w:t>
      </w:r>
      <w:r w:rsidRPr="005E5FD8">
        <w:rPr>
          <w:rFonts w:asciiTheme="majorBidi" w:hAnsiTheme="majorBidi" w:cstheme="majorBidi"/>
          <w:sz w:val="24"/>
          <w:szCs w:val="24"/>
          <w:lang w:eastAsia="en-US"/>
        </w:rPr>
        <w:t xml:space="preserve">(відповідно до </w:t>
      </w:r>
      <w:proofErr w:type="spellStart"/>
      <w:r w:rsidRPr="005E5FD8">
        <w:rPr>
          <w:rFonts w:asciiTheme="majorBidi" w:hAnsiTheme="majorBidi" w:cstheme="majorBidi"/>
          <w:sz w:val="24"/>
          <w:szCs w:val="24"/>
          <w:lang w:eastAsia="en-US"/>
        </w:rPr>
        <w:t>пп</w:t>
      </w:r>
      <w:proofErr w:type="spellEnd"/>
      <w:r w:rsidRPr="005E5FD8">
        <w:rPr>
          <w:rFonts w:asciiTheme="majorBidi" w:hAnsiTheme="majorBidi" w:cstheme="majorBidi"/>
          <w:sz w:val="24"/>
          <w:szCs w:val="24"/>
          <w:lang w:eastAsia="en-US"/>
        </w:rPr>
        <w:t>. 5, 6, 12 пункту 44 Особливостей);</w:t>
      </w:r>
    </w:p>
    <w:p w14:paraId="12F2AF16" w14:textId="77777777" w:rsidR="00966B7B" w:rsidRPr="005E5FD8" w:rsidRDefault="00966B7B" w:rsidP="00966B7B">
      <w:pPr>
        <w:pBdr>
          <w:top w:val="nil"/>
          <w:left w:val="nil"/>
          <w:bottom w:val="nil"/>
          <w:right w:val="nil"/>
          <w:between w:val="nil"/>
        </w:pBdr>
        <w:shd w:val="clear" w:color="auto" w:fill="FFFFFF"/>
        <w:spacing w:after="0" w:line="240" w:lineRule="atLeast"/>
        <w:contextualSpacing/>
        <w:jc w:val="both"/>
        <w:rPr>
          <w:rFonts w:asciiTheme="majorBidi" w:hAnsiTheme="majorBidi" w:cstheme="majorBidi"/>
          <w:sz w:val="24"/>
          <w:szCs w:val="24"/>
          <w:lang w:eastAsia="en-US"/>
        </w:rPr>
      </w:pPr>
    </w:p>
    <w:p w14:paraId="0333A953" w14:textId="77777777" w:rsidR="00966B7B" w:rsidRPr="005E5FD8" w:rsidRDefault="00966B7B" w:rsidP="00966B7B">
      <w:pPr>
        <w:numPr>
          <w:ilvl w:val="0"/>
          <w:numId w:val="2"/>
        </w:numPr>
        <w:pBdr>
          <w:top w:val="nil"/>
          <w:left w:val="nil"/>
          <w:bottom w:val="nil"/>
          <w:right w:val="nil"/>
          <w:between w:val="nil"/>
        </w:pBdr>
        <w:shd w:val="clear" w:color="auto" w:fill="FFFFFF"/>
        <w:spacing w:after="0" w:line="240" w:lineRule="atLeast"/>
        <w:ind w:left="0" w:firstLine="284"/>
        <w:contextualSpacing/>
        <w:jc w:val="both"/>
        <w:rPr>
          <w:rFonts w:asciiTheme="majorBidi" w:hAnsiTheme="majorBidi" w:cstheme="majorBidi"/>
          <w:sz w:val="24"/>
          <w:szCs w:val="24"/>
          <w:lang w:eastAsia="en-US"/>
        </w:rPr>
      </w:pPr>
      <w:r w:rsidRPr="005E5FD8">
        <w:rPr>
          <w:rFonts w:asciiTheme="majorBidi" w:hAnsiTheme="majorBidi" w:cstheme="majorBidi"/>
          <w:sz w:val="24"/>
          <w:szCs w:val="24"/>
          <w:lang w:eastAsia="en-US"/>
        </w:rPr>
        <w:t>Довідка або інформація, складена в довільній формі, про те, що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або інформація про те, що із таким замовником учасником угоди не укладались.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(відповідно до абзацу 14 пункту 44 Особливостей).</w:t>
      </w:r>
    </w:p>
    <w:p w14:paraId="6FF38FD2" w14:textId="77777777" w:rsidR="00966B7B" w:rsidRPr="005E5FD8" w:rsidRDefault="00966B7B" w:rsidP="00966B7B">
      <w:pPr>
        <w:pBdr>
          <w:top w:val="nil"/>
          <w:left w:val="nil"/>
          <w:bottom w:val="nil"/>
          <w:right w:val="nil"/>
          <w:between w:val="nil"/>
        </w:pBdr>
        <w:shd w:val="clear" w:color="auto" w:fill="FFFFFF"/>
        <w:spacing w:after="0" w:line="240" w:lineRule="atLeast"/>
        <w:ind w:firstLine="709"/>
        <w:jc w:val="both"/>
        <w:rPr>
          <w:rFonts w:asciiTheme="majorBidi" w:hAnsiTheme="majorBidi" w:cstheme="majorBidi"/>
          <w:sz w:val="24"/>
          <w:szCs w:val="24"/>
          <w:lang w:eastAsia="en-US"/>
        </w:rPr>
      </w:pPr>
      <w:r w:rsidRPr="005E5FD8">
        <w:rPr>
          <w:rFonts w:asciiTheme="majorBidi" w:hAnsiTheme="majorBidi" w:cstheme="majorBidi"/>
          <w:sz w:val="24"/>
          <w:szCs w:val="24"/>
          <w:lang w:eastAsia="en-US"/>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16 Закону та пунктом 44 Особливостей подається по кожному з учасників, які входять у склад об’єднання окремо.</w:t>
      </w:r>
    </w:p>
    <w:p w14:paraId="6DE14DBF" w14:textId="77777777" w:rsidR="00966B7B" w:rsidRPr="005E5FD8" w:rsidRDefault="00966B7B" w:rsidP="00966B7B">
      <w:pPr>
        <w:widowControl w:val="0"/>
        <w:spacing w:after="0" w:line="240" w:lineRule="atLeast"/>
        <w:ind w:firstLine="567"/>
        <w:jc w:val="both"/>
        <w:rPr>
          <w:rFonts w:asciiTheme="majorBidi" w:eastAsia="Times New Roman" w:hAnsiTheme="majorBidi" w:cstheme="majorBidi"/>
          <w:b/>
          <w:bCs/>
          <w:sz w:val="24"/>
          <w:szCs w:val="24"/>
          <w:lang w:eastAsia="ru-RU"/>
        </w:rPr>
      </w:pPr>
      <w:r w:rsidRPr="005E5FD8">
        <w:rPr>
          <w:rFonts w:asciiTheme="majorBidi" w:eastAsia="Times New Roman" w:hAnsiTheme="majorBidi" w:cstheme="majorBidi"/>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bookmarkEnd w:id="0"/>
    </w:p>
    <w:p w14:paraId="77707CDD"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31731A74"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27CAAAD6"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25088D4A"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5421168A"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146A90FD"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5749001E"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2696604F"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71F96F44"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092E893B"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595343EB"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6A618402"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3A12214F"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6494B2B5"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3798AFE2"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77A03AAE"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58F80D49"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3F228EE6"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2BD0DE2E"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06E84F46"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1935EBA0"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449D1FA2"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5AD360C4"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7A343403"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3FBC5E1C"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38733E4D"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3829D98E"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388BDE4D"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68DBEEE9"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586950A9"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5B485270"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008F73E0"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1A5CFC0B"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7C3DF727"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703F919B"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51C1E842"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16F81D0C"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477F0C82"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700FA513" w14:textId="77777777" w:rsidR="00966B7B" w:rsidRPr="006D6204" w:rsidRDefault="00966B7B" w:rsidP="00966B7B">
      <w:pPr>
        <w:spacing w:after="0" w:line="240" w:lineRule="auto"/>
        <w:rPr>
          <w:rFonts w:asciiTheme="majorBidi" w:eastAsia="Times New Roman" w:hAnsiTheme="majorBidi" w:cstheme="majorBidi"/>
          <w:color w:val="4A86E8"/>
          <w:sz w:val="24"/>
          <w:szCs w:val="24"/>
        </w:rPr>
      </w:pPr>
    </w:p>
    <w:p w14:paraId="1B07B606" w14:textId="77777777" w:rsidR="00A55EE4" w:rsidRDefault="00A55EE4"/>
    <w:sectPr w:rsidR="00A55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C5F43"/>
    <w:multiLevelType w:val="multilevel"/>
    <w:tmpl w:val="94AC2576"/>
    <w:lvl w:ilvl="0">
      <w:start w:val="1"/>
      <w:numFmt w:val="decimal"/>
      <w:lvlText w:val="%1."/>
      <w:lvlJc w:val="left"/>
      <w:pPr>
        <w:ind w:left="720" w:hanging="360"/>
      </w:pPr>
      <w:rPr>
        <w:rFonts w:hint="default"/>
      </w:rPr>
    </w:lvl>
    <w:lvl w:ilvl="1">
      <w:start w:val="1"/>
      <w:numFmt w:val="decimal"/>
      <w:isLgl/>
      <w:lvlText w:val="%1.%2."/>
      <w:lvlJc w:val="left"/>
      <w:pPr>
        <w:ind w:left="7732" w:hanging="360"/>
      </w:pPr>
      <w:rPr>
        <w:rFonts w:ascii="Times New Roman" w:hAnsi="Times New Roman" w:hint="default"/>
        <w:b w:val="0"/>
        <w:sz w:val="24"/>
        <w:szCs w:val="24"/>
      </w:rPr>
    </w:lvl>
    <w:lvl w:ilvl="2">
      <w:start w:val="1"/>
      <w:numFmt w:val="decimal"/>
      <w:isLgl/>
      <w:lvlText w:val="%1.%2.%3."/>
      <w:lvlJc w:val="left"/>
      <w:pPr>
        <w:ind w:left="1134" w:hanging="360"/>
      </w:pPr>
      <w:rPr>
        <w:rFonts w:ascii="Times New Roman" w:hAnsi="Times New Roman" w:hint="default"/>
        <w:b w:val="0"/>
        <w:sz w:val="20"/>
      </w:rPr>
    </w:lvl>
    <w:lvl w:ilvl="3">
      <w:start w:val="1"/>
      <w:numFmt w:val="decimal"/>
      <w:isLgl/>
      <w:lvlText w:val="%1.%2.%3.%4."/>
      <w:lvlJc w:val="left"/>
      <w:pPr>
        <w:ind w:left="1341" w:hanging="360"/>
      </w:pPr>
      <w:rPr>
        <w:rFonts w:ascii="Times New Roman" w:hAnsi="Times New Roman" w:hint="default"/>
        <w:b w:val="0"/>
        <w:sz w:val="20"/>
      </w:rPr>
    </w:lvl>
    <w:lvl w:ilvl="4">
      <w:start w:val="1"/>
      <w:numFmt w:val="decimal"/>
      <w:isLgl/>
      <w:lvlText w:val="%1.%2.%3.%4.%5."/>
      <w:lvlJc w:val="left"/>
      <w:pPr>
        <w:ind w:left="1908" w:hanging="720"/>
      </w:pPr>
      <w:rPr>
        <w:rFonts w:ascii="Times New Roman" w:hAnsi="Times New Roman" w:hint="default"/>
        <w:b w:val="0"/>
        <w:sz w:val="20"/>
      </w:rPr>
    </w:lvl>
    <w:lvl w:ilvl="5">
      <w:start w:val="1"/>
      <w:numFmt w:val="decimal"/>
      <w:isLgl/>
      <w:lvlText w:val="%1.%2.%3.%4.%5.%6."/>
      <w:lvlJc w:val="left"/>
      <w:pPr>
        <w:ind w:left="2115" w:hanging="720"/>
      </w:pPr>
      <w:rPr>
        <w:rFonts w:ascii="Times New Roman" w:hAnsi="Times New Roman" w:hint="default"/>
        <w:b w:val="0"/>
        <w:sz w:val="20"/>
      </w:rPr>
    </w:lvl>
    <w:lvl w:ilvl="6">
      <w:start w:val="1"/>
      <w:numFmt w:val="decimal"/>
      <w:isLgl/>
      <w:lvlText w:val="%1.%2.%3.%4.%5.%6.%7."/>
      <w:lvlJc w:val="left"/>
      <w:pPr>
        <w:ind w:left="2322" w:hanging="720"/>
      </w:pPr>
      <w:rPr>
        <w:rFonts w:ascii="Times New Roman" w:hAnsi="Times New Roman" w:hint="default"/>
        <w:b w:val="0"/>
        <w:sz w:val="20"/>
      </w:rPr>
    </w:lvl>
    <w:lvl w:ilvl="7">
      <w:start w:val="1"/>
      <w:numFmt w:val="decimal"/>
      <w:isLgl/>
      <w:lvlText w:val="%1.%2.%3.%4.%5.%6.%7.%8."/>
      <w:lvlJc w:val="left"/>
      <w:pPr>
        <w:ind w:left="2529" w:hanging="720"/>
      </w:pPr>
      <w:rPr>
        <w:rFonts w:ascii="Times New Roman" w:hAnsi="Times New Roman" w:hint="default"/>
        <w:b w:val="0"/>
        <w:sz w:val="20"/>
      </w:rPr>
    </w:lvl>
    <w:lvl w:ilvl="8">
      <w:start w:val="1"/>
      <w:numFmt w:val="decimal"/>
      <w:isLgl/>
      <w:lvlText w:val="%1.%2.%3.%4.%5.%6.%7.%8.%9."/>
      <w:lvlJc w:val="left"/>
      <w:pPr>
        <w:ind w:left="3096" w:hanging="1080"/>
      </w:pPr>
      <w:rPr>
        <w:rFonts w:ascii="Times New Roman" w:hAnsi="Times New Roman" w:hint="default"/>
        <w:b w:val="0"/>
        <w:sz w:val="20"/>
      </w:rPr>
    </w:lvl>
  </w:abstractNum>
  <w:abstractNum w:abstractNumId="1" w15:restartNumberingAfterBreak="0">
    <w:nsid w:val="626E6630"/>
    <w:multiLevelType w:val="hybridMultilevel"/>
    <w:tmpl w:val="2D0EF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F23831"/>
    <w:multiLevelType w:val="multilevel"/>
    <w:tmpl w:val="F8A43F18"/>
    <w:lvl w:ilvl="0">
      <w:start w:val="13"/>
      <w:numFmt w:val="bullet"/>
      <w:lvlText w:val="-"/>
      <w:lvlJc w:val="left"/>
      <w:pPr>
        <w:ind w:left="2487"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077678048">
    <w:abstractNumId w:val="0"/>
  </w:num>
  <w:num w:numId="2" w16cid:durableId="747729007">
    <w:abstractNumId w:val="2"/>
  </w:num>
  <w:num w:numId="3" w16cid:durableId="320158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7B"/>
    <w:rsid w:val="00966B7B"/>
    <w:rsid w:val="00A55EE4"/>
  </w:rsids>
  <m:mathPr>
    <m:mathFont m:val="Cambria Math"/>
    <m:brkBin m:val="before"/>
    <m:brkBinSub m:val="--"/>
    <m:smallFrac m:val="0"/>
    <m:dispDef/>
    <m:lMargin m:val="0"/>
    <m:rMargin m:val="0"/>
    <m:defJc m:val="centerGroup"/>
    <m:wrapIndent m:val="1440"/>
    <m:intLim m:val="subSup"/>
    <m:naryLim m:val="undOvr"/>
  </m:mathPr>
  <w:themeFontLang w:val="ru-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8304"/>
  <w15:chartTrackingRefBased/>
  <w15:docId w15:val="{1BC433DF-FCD5-49E3-BCF6-EF7BECBE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B7B"/>
    <w:rPr>
      <w:rFonts w:ascii="Calibri" w:eastAsia="Calibri" w:hAnsi="Calibri" w:cs="Calibri"/>
      <w:kern w:val="0"/>
      <w:lang w:val="uk-UA"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7781</Characters>
  <Application>Microsoft Office Word</Application>
  <DocSecurity>0</DocSecurity>
  <Lines>64</Lines>
  <Paragraphs>18</Paragraphs>
  <ScaleCrop>false</ScaleCrop>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Krais</dc:creator>
  <cp:keywords/>
  <dc:description/>
  <cp:lastModifiedBy>Krais</cp:lastModifiedBy>
  <cp:revision>1</cp:revision>
  <dcterms:created xsi:type="dcterms:W3CDTF">2023-03-23T20:02:00Z</dcterms:created>
  <dcterms:modified xsi:type="dcterms:W3CDTF">2023-03-23T20:03:00Z</dcterms:modified>
</cp:coreProperties>
</file>