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348E605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A86EA4" w:rsidRPr="00685D12">
        <w:rPr>
          <w:rFonts w:ascii="Times New Roman" w:hAnsi="Times New Roman"/>
          <w:lang w:val="uk-UA"/>
        </w:rPr>
        <w:t>«</w:t>
      </w:r>
      <w:r w:rsidRPr="00685D12">
        <w:rPr>
          <w:rFonts w:ascii="Times New Roman" w:hAnsi="Times New Roman"/>
          <w:lang w:val="uk-UA"/>
        </w:rPr>
        <w:t>Головний військовий клінічний госпіталь</w:t>
      </w:r>
      <w:r w:rsidR="00A86EA4" w:rsidRPr="00685D12">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xml:space="preserve">, який діє на підставі Положення, (далі-”Замовник”), з одного боку та__________, в особі  директора __________, що діє на підставі __________ , (далі-“Постачальник”),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57B33B75" w:rsidR="005234D4" w:rsidRPr="00685D12" w:rsidRDefault="005234D4" w:rsidP="005234D4">
      <w:pPr>
        <w:spacing w:after="0" w:line="240" w:lineRule="auto"/>
        <w:contextualSpacing/>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зобов'язується</w:t>
      </w:r>
      <w:r w:rsidRPr="00685D12">
        <w:rPr>
          <w:rFonts w:ascii="Times New Roman" w:hAnsi="Times New Roman"/>
        </w:rPr>
        <w:t xml:space="preserve">  своєчасно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2D57E5" w:rsidRPr="007F2E34">
        <w:rPr>
          <w:rFonts w:ascii="Times New Roman" w:hAnsi="Times New Roman"/>
          <w:sz w:val="21"/>
          <w:szCs w:val="21"/>
        </w:rPr>
        <w:t>Лікарські засоби різні, код 33690000-3 за ДК 021:2015 «Єдиний закупівельний словник» (Лабораторні реактиви, код 33696500-0 за ДК 021:2015 «Єдиний закупівельний словник», код 30590 за НК 024:2023 - Набір реагентів для вимірювання множинних чинників згортання IVD (діагностика in vitro))</w:t>
      </w:r>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8629DD">
        <w:rPr>
          <w:rFonts w:ascii="Times New Roman" w:hAnsi="Times New Roman"/>
          <w:lang w:val="uk-UA"/>
        </w:rPr>
        <w:t>1</w:t>
      </w:r>
      <w:r w:rsidR="002D57E5" w:rsidRPr="002D57E5">
        <w:rPr>
          <w:rFonts w:ascii="Times New Roman" w:hAnsi="Times New Roman"/>
        </w:rPr>
        <w:t>2</w:t>
      </w:r>
      <w:r w:rsidRPr="00685D12">
        <w:rPr>
          <w:rFonts w:ascii="Times New Roman" w:hAnsi="Times New Roman"/>
        </w:rPr>
        <w:t xml:space="preserve"> найменуван</w:t>
      </w:r>
      <w:r w:rsidR="00B52D81" w:rsidRPr="00685D12">
        <w:rPr>
          <w:rFonts w:ascii="Times New Roman" w:hAnsi="Times New Roman"/>
          <w:lang w:val="uk-UA"/>
        </w:rPr>
        <w:t>ь</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F481784" w14:textId="2925B967" w:rsidR="005234D4" w:rsidRPr="00685D12" w:rsidRDefault="005234D4" w:rsidP="00860739">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51E5CF82"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860739">
        <w:rPr>
          <w:rFonts w:ascii="Times New Roman" w:hAnsi="Times New Roman"/>
        </w:rPr>
        <w:t xml:space="preserve">Термін придатності не менше 80% від загального терміну зберігання, зазначеного в документах виробника.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860739">
        <w:rPr>
          <w:rFonts w:ascii="Times New Roman" w:hAnsi="Times New Roman"/>
        </w:rPr>
        <w:t>на адресу</w:t>
      </w:r>
      <w:proofErr w:type="gramEnd"/>
      <w:r w:rsidR="00860739">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bookmarkStart w:id="0" w:name="_GoBack"/>
      <w:bookmarkEnd w:id="0"/>
      <w:r w:rsidR="007852C3" w:rsidRPr="00685D12">
        <w:rPr>
          <w:rFonts w:ascii="Times New Roman" w:hAnsi="Times New Roman"/>
        </w:rPr>
        <w:t>.</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w:t>
      </w:r>
      <w:r w:rsidRPr="00685D12">
        <w:rPr>
          <w:rFonts w:ascii="Times New Roman" w:hAnsi="Times New Roman"/>
          <w:bCs/>
          <w:lang w:val="uk-UA"/>
        </w:rPr>
        <w:lastRenderedPageBreak/>
        <w:t>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D57E5"/>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0739"/>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911F0"/>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13642</Words>
  <Characters>7776</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98</cp:revision>
  <dcterms:created xsi:type="dcterms:W3CDTF">2022-11-20T14:45:00Z</dcterms:created>
  <dcterms:modified xsi:type="dcterms:W3CDTF">2024-04-02T08:14:00Z</dcterms:modified>
</cp:coreProperties>
</file>