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b w:val="0"/>
          <w:bCs w:val="0"/>
          <w:i/>
          <w:iCs w:val="0"/>
          <w:sz w:val="24"/>
          <w:szCs w:val="24"/>
        </w:rPr>
      </w:pPr>
      <w:r>
        <w:rPr>
          <w:rFonts w:ascii="Times New Roman" w:hAnsi="Times New Roman" w:eastAsia="Times New Roman" w:cs="Times New Roman"/>
          <w:b w:val="0"/>
          <w:bCs w:val="0"/>
          <w:i/>
          <w:iCs w:val="0"/>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w:t>
      </w:r>
      <w:r>
        <w:rPr>
          <w:rFonts w:ascii="Times New Roman" w:hAnsi="Times New Roman" w:eastAsia="Times New Roman" w:cs="Times New Roman"/>
          <w:b/>
          <w:color w:val="000000"/>
          <w:sz w:val="24"/>
          <w:szCs w:val="24"/>
          <w:rtl w:val="0"/>
          <w:lang w:val="uk-UA"/>
        </w:rPr>
        <w:t>А</w:t>
      </w:r>
      <w:bookmarkStart w:id="1" w:name="_GoBack"/>
      <w:bookmarkEnd w:id="1"/>
      <w:r>
        <w:rPr>
          <w:rFonts w:ascii="Times New Roman" w:hAnsi="Times New Roman" w:eastAsia="Times New Roman" w:cs="Times New Roman"/>
          <w:b/>
          <w:color w:val="000000"/>
          <w:sz w:val="24"/>
          <w:szCs w:val="24"/>
          <w:rtl w:val="0"/>
        </w:rPr>
        <w:t xml:space="preserve"> кваліфікаційним критеріям, визначеним у статті 16 Закону “Про публічні закупівлі”:</w:t>
      </w:r>
    </w:p>
    <w:tbl>
      <w:tblPr>
        <w:tblStyle w:val="32"/>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Документи та</w:t>
            </w:r>
            <w:r>
              <w:rPr>
                <w:rFonts w:ascii="Times New Roman" w:hAnsi="Times New Roman" w:eastAsia="Times New Roman" w:cs="Times New Roman"/>
                <w:b/>
                <w:color w:val="auto"/>
                <w:sz w:val="20"/>
                <w:szCs w:val="20"/>
                <w:highlight w:val="none"/>
                <w:rtl w:val="0"/>
              </w:rPr>
              <w:t xml:space="preserve"> інформація, я</w:t>
            </w:r>
            <w:r>
              <w:rPr>
                <w:rFonts w:ascii="Times New Roman" w:hAnsi="Times New Roman" w:eastAsia="Times New Roman" w:cs="Times New Roman"/>
                <w:b/>
                <w:color w:val="000000"/>
                <w:sz w:val="20"/>
                <w:szCs w:val="20"/>
                <w:rtl w:val="0"/>
              </w:rPr>
              <w:t>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88"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обладнання, матеріально-технічної бази та технологій*</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numPr>
                <w:ilvl w:val="1"/>
                <w:numId w:val="2"/>
              </w:numPr>
              <w:shd w:val="clear" w:fill="FFFFFF"/>
              <w:spacing w:after="0" w:line="240" w:lineRule="auto"/>
              <w:jc w:val="both"/>
              <w:rPr>
                <w:rFonts w:hint="default" w:ascii="Times New Roman" w:hAnsi="Times New Roman" w:eastAsia="Times New Roman" w:cs="Times New Roman"/>
                <w:color w:val="000000"/>
                <w:sz w:val="20"/>
                <w:szCs w:val="20"/>
                <w:rtl w:val="0"/>
              </w:rPr>
            </w:pPr>
            <w:r>
              <w:rPr>
                <w:rFonts w:hint="default" w:ascii="Times New Roman" w:hAnsi="Times New Roman" w:eastAsia="Times New Roman" w:cs="Times New Roman"/>
                <w:color w:val="000000"/>
                <w:sz w:val="20"/>
                <w:szCs w:val="20"/>
                <w:rtl w:val="0"/>
              </w:rPr>
              <w:t>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pPr>
              <w:numPr>
                <w:ilvl w:val="0"/>
                <w:numId w:val="0"/>
              </w:numPr>
              <w:shd w:val="clear" w:fill="FFFFFF"/>
              <w:spacing w:after="0" w:line="240" w:lineRule="auto"/>
              <w:ind w:leftChars="0"/>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color w:val="000000"/>
                <w:sz w:val="20"/>
                <w:szCs w:val="20"/>
                <w:rtl w:val="0"/>
                <w:lang w:val="uk-UA"/>
              </w:rPr>
              <w:t>Обов</w:t>
            </w:r>
            <w:r>
              <w:rPr>
                <w:rFonts w:hint="default" w:ascii="Times New Roman" w:hAnsi="Times New Roman" w:eastAsia="Times New Roman" w:cs="Times New Roman"/>
                <w:color w:val="000000"/>
                <w:sz w:val="20"/>
                <w:szCs w:val="20"/>
                <w:rtl w:val="0"/>
                <w:lang w:val="en-US"/>
              </w:rPr>
              <w:t>’</w:t>
            </w:r>
            <w:r>
              <w:rPr>
                <w:rFonts w:hint="default" w:ascii="Times New Roman" w:hAnsi="Times New Roman" w:eastAsia="Times New Roman" w:cs="Times New Roman"/>
                <w:color w:val="000000"/>
                <w:sz w:val="20"/>
                <w:szCs w:val="20"/>
                <w:rtl w:val="0"/>
                <w:lang w:val="uk-UA"/>
              </w:rPr>
              <w:t>язковою є наявність в учасника власних чи орендованих будівельних машин та механізмів згідно даних, вказаних ним у розділі ІІ Будівельні машини та механізми Підсумкової відомості ресурсів, що повинна бути надана учасником у складі тендерної пропозиції згідно вимог додатку 2 до тендерної документації.</w:t>
            </w:r>
          </w:p>
          <w:p>
            <w:pPr>
              <w:spacing w:after="0" w:line="240" w:lineRule="auto"/>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sz w:val="20"/>
                <w:szCs w:val="20"/>
                <w:rtl w:val="0"/>
              </w:rPr>
              <w:t xml:space="preserve">1.2. </w:t>
            </w:r>
            <w:r>
              <w:rPr>
                <w:rFonts w:hint="default" w:ascii="Times New Roman" w:hAnsi="Times New Roman" w:eastAsia="Times New Roman" w:cs="Times New Roman"/>
                <w:color w:val="000000"/>
                <w:sz w:val="20"/>
                <w:szCs w:val="20"/>
                <w:rtl w:val="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володіння</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 xml:space="preserve"> користування тощо відповідним майном</w:t>
            </w:r>
            <w:r>
              <w:rPr>
                <w:rFonts w:hint="default" w:ascii="Times New Roman" w:hAnsi="Times New Roman" w:eastAsia="Times New Roman" w:cs="Times New Roman"/>
                <w:color w:val="000000"/>
                <w:sz w:val="20"/>
                <w:szCs w:val="20"/>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lang w:val="uk-UA"/>
              </w:rPr>
            </w:pPr>
            <w:r>
              <w:rPr>
                <w:rFonts w:hint="default" w:ascii="Times New Roman" w:hAnsi="Times New Roman" w:eastAsia="Times New Roman" w:cs="Times New Roman"/>
                <w:color w:val="000000"/>
                <w:sz w:val="20"/>
                <w:szCs w:val="20"/>
                <w:rtl w:val="0"/>
                <w:lang w:val="uk-UA"/>
              </w:rPr>
              <w:t>У разі, якщо</w:t>
            </w:r>
            <w:r>
              <w:rPr>
                <w:rFonts w:hint="default" w:ascii="Times New Roman" w:hAnsi="Times New Roman" w:eastAsia="Times New Roman" w:cs="Times New Roman"/>
                <w:color w:val="auto"/>
                <w:sz w:val="20"/>
                <w:szCs w:val="20"/>
                <w:rtl w:val="0"/>
                <w:lang w:val="uk-UA"/>
              </w:rPr>
              <w:t xml:space="preserve"> </w:t>
            </w:r>
            <w:r>
              <w:rPr>
                <w:rFonts w:hint="default" w:ascii="Times New Roman" w:hAnsi="Times New Roman" w:eastAsia="SimSun" w:cs="Times New Roman"/>
                <w:i w:val="0"/>
                <w:iCs w:val="0"/>
                <w:caps w:val="0"/>
                <w:color w:val="auto"/>
                <w:spacing w:val="0"/>
                <w:sz w:val="20"/>
                <w:szCs w:val="20"/>
              </w:rPr>
              <w:t>обладнання та матеріально-технічна база є власн</w:t>
            </w:r>
            <w:r>
              <w:rPr>
                <w:rFonts w:hint="default" w:ascii="Times New Roman" w:hAnsi="Times New Roman" w:eastAsia="SimSun" w:cs="Times New Roman"/>
                <w:i w:val="0"/>
                <w:iCs w:val="0"/>
                <w:caps w:val="0"/>
                <w:color w:val="auto"/>
                <w:spacing w:val="0"/>
                <w:sz w:val="20"/>
                <w:szCs w:val="20"/>
                <w:lang w:val="uk-UA"/>
              </w:rPr>
              <w:t>ими,</w:t>
            </w:r>
            <w:r>
              <w:rPr>
                <w:rFonts w:hint="default" w:ascii="Times New Roman" w:hAnsi="Times New Roman" w:eastAsia="SimSun" w:cs="Times New Roman"/>
                <w:i w:val="0"/>
                <w:iCs w:val="0"/>
                <w:caps w:val="0"/>
                <w:color w:val="auto"/>
                <w:spacing w:val="0"/>
                <w:sz w:val="20"/>
                <w:szCs w:val="20"/>
              </w:rPr>
              <w:t xml:space="preserve"> надаються свідоцтва про реєстрацію транспортних засобів (для рухомого майна), Витяг з Державного реєстру речових прав на нерухоме майно (для нерухомого майна)</w:t>
            </w:r>
            <w:r>
              <w:rPr>
                <w:rFonts w:hint="default" w:ascii="Times New Roman" w:hAnsi="Times New Roman" w:eastAsia="Times New Roman" w:cs="Times New Roman"/>
                <w:color w:val="000000"/>
                <w:sz w:val="20"/>
                <w:szCs w:val="20"/>
                <w:rtl w:val="0"/>
                <w:lang w:val="uk-UA"/>
              </w:rPr>
              <w:t xml:space="preserve">, </w:t>
            </w:r>
            <w:r>
              <w:rPr>
                <w:rFonts w:hint="default" w:ascii="Times New Roman" w:hAnsi="Times New Roman" w:eastAsia="SimSun" w:cs="Times New Roman"/>
                <w:i w:val="0"/>
                <w:iCs w:val="0"/>
                <w:caps w:val="0"/>
                <w:color w:val="auto"/>
                <w:spacing w:val="0"/>
                <w:sz w:val="20"/>
                <w:szCs w:val="20"/>
              </w:rPr>
              <w:t>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w:t>
            </w:r>
            <w:r>
              <w:rPr>
                <w:rFonts w:hint="default" w:ascii="Times New Roman" w:hAnsi="Times New Roman" w:eastAsia="SimSun" w:cs="Times New Roman"/>
                <w:i w:val="0"/>
                <w:iCs w:val="0"/>
                <w:caps w:val="0"/>
                <w:color w:val="auto"/>
                <w:spacing w:val="0"/>
                <w:sz w:val="20"/>
                <w:szCs w:val="20"/>
                <w:lang w:val="uk-UA"/>
              </w:rPr>
              <w:t>,</w:t>
            </w:r>
            <w:r>
              <w:rPr>
                <w:rFonts w:hint="default" w:ascii="Times New Roman" w:hAnsi="Times New Roman" w:eastAsia="SimSun" w:cs="Times New Roman"/>
                <w:i w:val="0"/>
                <w:iCs w:val="0"/>
                <w:caps w:val="0"/>
                <w:color w:val="auto"/>
                <w:spacing w:val="0"/>
                <w:sz w:val="20"/>
                <w:szCs w:val="20"/>
              </w:rPr>
              <w:t xml:space="preserve"> яким учасник може підтвердити власне право користування</w:t>
            </w:r>
            <w:r>
              <w:rPr>
                <w:rFonts w:hint="default" w:ascii="Times New Roman" w:hAnsi="Times New Roman" w:eastAsia="SimSun" w:cs="Times New Roman"/>
                <w:i w:val="0"/>
                <w:iCs w:val="0"/>
                <w:caps w:val="0"/>
                <w:color w:val="auto"/>
                <w:spacing w:val="0"/>
                <w:sz w:val="20"/>
                <w:szCs w:val="2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lang w:val="uk-UA"/>
              </w:rPr>
            </w:pPr>
            <w:r>
              <w:rPr>
                <w:rFonts w:hint="default" w:ascii="Times New Roman" w:hAnsi="Times New Roman" w:eastAsia="SimSun" w:cs="Times New Roman"/>
                <w:i w:val="0"/>
                <w:iCs w:val="0"/>
                <w:caps w:val="0"/>
                <w:color w:val="auto"/>
                <w:spacing w:val="0"/>
                <w:sz w:val="20"/>
                <w:szCs w:val="20"/>
                <w:lang w:val="uk-UA"/>
              </w:rPr>
              <w:t>У</w:t>
            </w:r>
            <w:r>
              <w:rPr>
                <w:rFonts w:hint="default" w:ascii="Times New Roman" w:hAnsi="Times New Roman" w:eastAsia="SimSun" w:cs="Times New Roman"/>
                <w:i w:val="0"/>
                <w:iCs w:val="0"/>
                <w:caps w:val="0"/>
                <w:color w:val="auto"/>
                <w:spacing w:val="0"/>
                <w:sz w:val="20"/>
                <w:szCs w:val="20"/>
              </w:rPr>
              <w:t xml:space="preserve"> разі, якщо матеріально-технічна база</w:t>
            </w:r>
            <w:r>
              <w:rPr>
                <w:rFonts w:hint="default" w:ascii="Times New Roman" w:hAnsi="Times New Roman" w:eastAsia="SimSun" w:cs="Times New Roman"/>
                <w:i w:val="0"/>
                <w:iCs w:val="0"/>
                <w:caps w:val="0"/>
                <w:color w:val="auto"/>
                <w:spacing w:val="0"/>
                <w:sz w:val="20"/>
                <w:szCs w:val="20"/>
                <w:lang w:val="uk-UA"/>
              </w:rPr>
              <w:t xml:space="preserve"> та обладнання </w:t>
            </w:r>
            <w:r>
              <w:rPr>
                <w:rFonts w:hint="default" w:ascii="Times New Roman" w:hAnsi="Times New Roman" w:eastAsia="SimSun" w:cs="Times New Roman"/>
                <w:i w:val="0"/>
                <w:iCs w:val="0"/>
                <w:caps w:val="0"/>
                <w:color w:val="auto"/>
                <w:spacing w:val="0"/>
                <w:sz w:val="20"/>
                <w:szCs w:val="20"/>
              </w:rPr>
              <w:t>використовуються на підставі договору(ів), що посвідчують право користування (договір оренди, тощо) – надаються відповідні скан-копіії з оригіналів договорів у повному обсязі (з додатками)</w:t>
            </w:r>
            <w:r>
              <w:rPr>
                <w:rFonts w:hint="default" w:ascii="Times New Roman" w:hAnsi="Times New Roman" w:eastAsia="SimSun" w:cs="Times New Roman"/>
                <w:i w:val="0"/>
                <w:iCs w:val="0"/>
                <w:caps w:val="0"/>
                <w:color w:val="auto"/>
                <w:spacing w:val="0"/>
                <w:sz w:val="20"/>
                <w:szCs w:val="20"/>
                <w:lang w:val="uk-UA"/>
              </w:rPr>
              <w:t>. П</w:t>
            </w:r>
            <w:r>
              <w:rPr>
                <w:rFonts w:ascii="Times New Roman" w:hAnsi="Times New Roman" w:eastAsia="Times New Roman" w:cs="Times New Roman"/>
                <w:color w:val="000000"/>
                <w:sz w:val="20"/>
                <w:szCs w:val="20"/>
                <w:rtl w:val="0"/>
              </w:rPr>
              <w:t>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Pr>
                <w:rFonts w:hint="default" w:ascii="Times New Roman" w:hAnsi="Times New Roman" w:eastAsia="Times New Roman" w:cs="Times New Roman"/>
                <w:color w:val="000000"/>
                <w:sz w:val="20"/>
                <w:szCs w:val="20"/>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rtl w:val="0"/>
                <w:lang w:val="uk-UA"/>
              </w:rPr>
            </w:pPr>
            <w:r>
              <w:rPr>
                <w:rFonts w:hint="default" w:ascii="Times New Roman" w:hAnsi="Times New Roman" w:eastAsia="SimSun" w:cs="Times New Roman"/>
                <w:i w:val="0"/>
                <w:iCs w:val="0"/>
                <w:caps w:val="0"/>
                <w:color w:val="auto"/>
                <w:spacing w:val="0"/>
                <w:sz w:val="20"/>
                <w:szCs w:val="20"/>
                <w:lang w:val="uk-UA"/>
              </w:rPr>
              <w:t>У</w:t>
            </w:r>
            <w:r>
              <w:rPr>
                <w:rFonts w:hint="default" w:ascii="Times New Roman" w:hAnsi="Times New Roman" w:eastAsia="SimSun" w:cs="Times New Roman"/>
                <w:i w:val="0"/>
                <w:iCs w:val="0"/>
                <w:caps w:val="0"/>
                <w:color w:val="auto"/>
                <w:spacing w:val="0"/>
                <w:sz w:val="20"/>
                <w:szCs w:val="20"/>
              </w:rPr>
              <w:t xml:space="preserve"> разі залучення до виконання робіт машин</w:t>
            </w:r>
            <w:r>
              <w:rPr>
                <w:rFonts w:hint="default" w:ascii="Times New Roman" w:hAnsi="Times New Roman" w:eastAsia="SimSun" w:cs="Times New Roman"/>
                <w:i w:val="0"/>
                <w:iCs w:val="0"/>
                <w:caps w:val="0"/>
                <w:color w:val="auto"/>
                <w:spacing w:val="0"/>
                <w:sz w:val="20"/>
                <w:szCs w:val="20"/>
                <w:lang w:val="uk-UA"/>
              </w:rPr>
              <w:t xml:space="preserve">, </w:t>
            </w:r>
            <w:r>
              <w:rPr>
                <w:rFonts w:hint="default" w:ascii="Times New Roman" w:hAnsi="Times New Roman" w:eastAsia="SimSun" w:cs="Times New Roman"/>
                <w:i w:val="0"/>
                <w:iCs w:val="0"/>
                <w:caps w:val="0"/>
                <w:color w:val="auto"/>
                <w:spacing w:val="0"/>
                <w:sz w:val="20"/>
                <w:szCs w:val="20"/>
              </w:rPr>
              <w:t>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чинні на дату подання пропозиції або повинен бути представлений протокол намірів про продовження терміну дії договору.</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працівників відповідної кваліфікації, які мають необхідні знання та досвід*</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p>
            <w:pPr>
              <w:spacing w:before="120" w:after="240" w:line="240" w:lineRule="auto"/>
              <w:jc w:val="both"/>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2.1. Довідка про наявність працівників відповідної кваліфікації, які мають необхідні знання та досвід, за формою Таблиці 1.</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Таблиця 1  </w:t>
            </w:r>
          </w:p>
          <w:tbl>
            <w:tblPr>
              <w:tblStyle w:val="33"/>
              <w:tblW w:w="6288" w:type="dxa"/>
              <w:tblInd w:w="0" w:type="dxa"/>
              <w:tblLayout w:type="fixed"/>
              <w:tblCellMar>
                <w:top w:w="15" w:type="dxa"/>
                <w:left w:w="15" w:type="dxa"/>
                <w:bottom w:w="15" w:type="dxa"/>
                <w:right w:w="15" w:type="dxa"/>
              </w:tblCellMar>
            </w:tblPr>
            <w:tblGrid>
              <w:gridCol w:w="353"/>
              <w:gridCol w:w="1173"/>
              <w:gridCol w:w="894"/>
              <w:gridCol w:w="2545"/>
              <w:gridCol w:w="1323"/>
            </w:tblGrid>
            <w:tr>
              <w:tblPrEx>
                <w:tblCellMar>
                  <w:top w:w="15" w:type="dxa"/>
                  <w:left w:w="15" w:type="dxa"/>
                  <w:bottom w:w="15" w:type="dxa"/>
                  <w:right w:w="15" w:type="dxa"/>
                </w:tblCellMar>
              </w:tblPrEx>
              <w:tc>
                <w:tcPr>
                  <w:gridSpan w:val="5"/>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Довідка про наявність працівників відповідної кваліфікації, які мають необхідні знання та досвід</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ПІБ</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Кваліфікація/</w:t>
                  </w:r>
                </w:p>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посада</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Загальний стаж роботи</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Працівник учасника/***працівник субпідрядника/співвиконавця</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***Назва субпідрядника/ співвиконавця</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rPr>
                  </w:pPr>
                </w:p>
              </w:tc>
            </w:tr>
          </w:tbl>
          <w:p>
            <w:pPr>
              <w:spacing w:after="0" w:line="240" w:lineRule="auto"/>
              <w:jc w:val="both"/>
              <w:rPr>
                <w:rFonts w:ascii="Times New Roman" w:hAnsi="Times New Roman" w:eastAsia="Times New Roman" w:cs="Times New Roman"/>
                <w:color w:val="auto"/>
                <w:sz w:val="20"/>
                <w:szCs w:val="20"/>
              </w:rPr>
            </w:pPr>
            <w:r>
              <w:rPr>
                <w:rFonts w:ascii="Times New Roman" w:hAnsi="Times New Roman" w:eastAsia="Times New Roman" w:cs="Times New Roman"/>
                <w:i/>
                <w:color w:val="auto"/>
                <w:sz w:val="20"/>
                <w:szCs w:val="20"/>
                <w:rtl w:val="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spacing w:after="0" w:line="240" w:lineRule="auto"/>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color w:val="000000"/>
                <w:sz w:val="20"/>
                <w:szCs w:val="20"/>
                <w:rtl w:val="0"/>
              </w:rPr>
              <w:t xml:space="preserve">2.2. До довідки додати документ на кожного працівника </w:t>
            </w:r>
            <w:r>
              <w:rPr>
                <w:rFonts w:ascii="Times New Roman" w:hAnsi="Times New Roman" w:eastAsia="Times New Roman" w:cs="Times New Roman"/>
                <w:i/>
                <w:color w:val="auto"/>
                <w:sz w:val="20"/>
                <w:szCs w:val="20"/>
                <w:highlight w:val="white"/>
                <w:rtl w:val="0"/>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eastAsia="Times New Roman" w:cs="Times New Roman"/>
                <w:color w:val="auto"/>
                <w:sz w:val="20"/>
                <w:szCs w:val="20"/>
                <w:rtl w:val="0"/>
              </w:rPr>
              <w:t>,</w:t>
            </w:r>
            <w:r>
              <w:rPr>
                <w:rFonts w:ascii="Times New Roman" w:hAnsi="Times New Roman" w:eastAsia="Times New Roman" w:cs="Times New Roman"/>
                <w:color w:val="000000"/>
                <w:sz w:val="20"/>
                <w:szCs w:val="20"/>
                <w:rtl w:val="0"/>
              </w:rPr>
              <w:t xml:space="preserve"> зазначеного в довідці, який засвідчує можливість використання праці такого працівника учасником</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000000"/>
                <w:sz w:val="20"/>
                <w:szCs w:val="20"/>
                <w:rtl w:val="0"/>
              </w:rPr>
              <w:t>/</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auto"/>
                <w:sz w:val="20"/>
                <w:szCs w:val="20"/>
                <w:rtl w:val="0"/>
              </w:rPr>
              <w:t>субпідрядником</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 xml:space="preserve">співвиконавцем </w:t>
            </w:r>
            <w:r>
              <w:rPr>
                <w:rFonts w:ascii="Times New Roman" w:hAnsi="Times New Roman" w:eastAsia="Times New Roman" w:cs="Times New Roman"/>
                <w:color w:val="000000"/>
                <w:sz w:val="20"/>
                <w:szCs w:val="20"/>
                <w:rtl w:val="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hAnsi="Times New Roman" w:eastAsia="Times New Roman" w:cs="Times New Roman"/>
                <w:sz w:val="20"/>
                <w:szCs w:val="20"/>
                <w:rtl w:val="0"/>
              </w:rPr>
              <w:t>няття</w:t>
            </w:r>
            <w:r>
              <w:rPr>
                <w:rFonts w:ascii="Times New Roman" w:hAnsi="Times New Roman" w:eastAsia="Times New Roman" w:cs="Times New Roman"/>
                <w:color w:val="000000"/>
                <w:sz w:val="20"/>
                <w:szCs w:val="20"/>
                <w:rtl w:val="0"/>
              </w:rPr>
              <w:t xml:space="preserve"> на роботу) / інший документ).</w:t>
            </w:r>
          </w:p>
          <w:p>
            <w:pPr>
              <w:spacing w:after="0" w:line="240" w:lineRule="auto"/>
              <w:jc w:val="both"/>
              <w:rPr>
                <w:rFonts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Враховуючи специфіку робіт, що є предметом Закупівлі, у складі пропозиції на працівників, зазначених у довідці</w:t>
            </w:r>
            <w:r>
              <w:rPr>
                <w:rFonts w:hint="default" w:ascii="Times New Roman" w:hAnsi="Times New Roman" w:eastAsia="Times New Roman" w:cs="Times New Roman"/>
                <w:color w:val="000000"/>
                <w:sz w:val="20"/>
                <w:szCs w:val="20"/>
                <w:lang w:val="uk-UA"/>
              </w:rPr>
              <w:t xml:space="preserve"> та будуть залучені до виконання робіт,</w:t>
            </w:r>
            <w:r>
              <w:rPr>
                <w:rFonts w:ascii="Times New Roman" w:hAnsi="Times New Roman" w:eastAsia="Times New Roman" w:cs="Times New Roman"/>
                <w:color w:val="000000"/>
                <w:sz w:val="20"/>
                <w:szCs w:val="20"/>
                <w:lang w:val="uk-UA"/>
              </w:rPr>
              <w:t xml:space="preserve"> надати посвідчення та протоколи (витяги з протоколів) з перевірки знань з:</w:t>
            </w:r>
          </w:p>
          <w:p>
            <w:pPr>
              <w:spacing w:after="0" w:line="240" w:lineRule="auto"/>
              <w:jc w:val="left"/>
              <w:rPr>
                <w:rFonts w:hint="default"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НПАОП 0.00-1.15-07 “Правила охорони праці під час виконання робіт на висоті”</w:t>
            </w:r>
            <w:r>
              <w:rPr>
                <w:rFonts w:hint="default" w:ascii="Times New Roman" w:hAnsi="Times New Roman" w:eastAsia="Times New Roman" w:cs="Times New Roman"/>
                <w:color w:val="000000"/>
                <w:sz w:val="20"/>
                <w:szCs w:val="20"/>
                <w:lang w:val="uk-UA"/>
              </w:rPr>
              <w:t xml:space="preserve"> - не менше чотирьох;</w:t>
            </w:r>
          </w:p>
          <w:p>
            <w:pPr>
              <w:spacing w:after="0" w:line="240" w:lineRule="auto"/>
              <w:jc w:val="left"/>
              <w:rPr>
                <w:rFonts w:hint="default"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НПАОП</w:t>
            </w:r>
            <w:r>
              <w:rPr>
                <w:rFonts w:hint="default" w:ascii="Times New Roman" w:hAnsi="Times New Roman" w:eastAsia="Times New Roman" w:cs="Times New Roman"/>
                <w:color w:val="000000"/>
                <w:sz w:val="20"/>
                <w:szCs w:val="20"/>
                <w:lang w:val="uk-UA"/>
              </w:rPr>
              <w:t xml:space="preserve"> </w:t>
            </w:r>
            <w:r>
              <w:rPr>
                <w:rFonts w:ascii="Times New Roman" w:hAnsi="Times New Roman" w:eastAsia="Times New Roman" w:cs="Times New Roman"/>
                <w:color w:val="000000"/>
                <w:sz w:val="20"/>
                <w:szCs w:val="20"/>
                <w:lang w:val="uk-UA"/>
              </w:rPr>
              <w:t>40.1-1.21-98 “Правила безпечної експлуатації електроустановок споживачів”</w:t>
            </w:r>
            <w:r>
              <w:rPr>
                <w:rFonts w:hint="default" w:ascii="Times New Roman" w:hAnsi="Times New Roman" w:eastAsia="Times New Roman" w:cs="Times New Roman"/>
                <w:color w:val="000000"/>
                <w:sz w:val="20"/>
                <w:szCs w:val="20"/>
                <w:lang w:val="uk-UA"/>
              </w:rPr>
              <w:t xml:space="preserve"> - </w:t>
            </w:r>
            <w:r>
              <w:rPr>
                <w:rFonts w:ascii="Times New Roman" w:hAnsi="Times New Roman" w:eastAsia="Times New Roman" w:cs="Times New Roman"/>
                <w:color w:val="000000"/>
                <w:sz w:val="20"/>
                <w:szCs w:val="20"/>
                <w:lang w:val="uk-UA"/>
              </w:rPr>
              <w:t>не менше одного</w:t>
            </w:r>
            <w:r>
              <w:rPr>
                <w:rFonts w:hint="default" w:ascii="Times New Roman" w:hAnsi="Times New Roman" w:eastAsia="Times New Roman" w:cs="Times New Roman"/>
                <w:color w:val="000000"/>
                <w:sz w:val="20"/>
                <w:szCs w:val="20"/>
                <w:lang w:val="uk-UA"/>
              </w:rPr>
              <w:t>;</w:t>
            </w:r>
          </w:p>
          <w:p>
            <w:pPr>
              <w:spacing w:after="0" w:line="240" w:lineRule="auto"/>
              <w:jc w:val="left"/>
              <w:rPr>
                <w:rFonts w:hint="default"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НПАОП 40.1-1.07-01 “Правила експлуатації електрозахисних засобів”</w:t>
            </w:r>
            <w:r>
              <w:rPr>
                <w:rFonts w:hint="default" w:ascii="Times New Roman" w:hAnsi="Times New Roman" w:eastAsia="Times New Roman" w:cs="Times New Roman"/>
                <w:color w:val="000000"/>
                <w:sz w:val="20"/>
                <w:szCs w:val="20"/>
                <w:lang w:val="uk-UA"/>
              </w:rPr>
              <w:t xml:space="preserve"> - </w:t>
            </w:r>
            <w:r>
              <w:rPr>
                <w:rFonts w:ascii="Times New Roman" w:hAnsi="Times New Roman" w:eastAsia="Times New Roman" w:cs="Times New Roman"/>
                <w:color w:val="000000"/>
                <w:sz w:val="20"/>
                <w:szCs w:val="20"/>
                <w:lang w:val="uk-UA"/>
              </w:rPr>
              <w:t>не менше одного</w:t>
            </w:r>
            <w:r>
              <w:rPr>
                <w:rFonts w:hint="default" w:ascii="Times New Roman" w:hAnsi="Times New Roman" w:eastAsia="Times New Roman" w:cs="Times New Roman"/>
                <w:color w:val="000000"/>
                <w:sz w:val="20"/>
                <w:szCs w:val="20"/>
                <w:lang w:val="uk-UA"/>
              </w:rPr>
              <w:t>;</w:t>
            </w:r>
          </w:p>
          <w:p>
            <w:pPr>
              <w:spacing w:after="0" w:line="240" w:lineRule="auto"/>
              <w:jc w:val="left"/>
              <w:rPr>
                <w:rFonts w:hint="default"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Спеціального</w:t>
            </w:r>
            <w:r>
              <w:rPr>
                <w:rFonts w:hint="default" w:ascii="Times New Roman" w:hAnsi="Times New Roman" w:eastAsia="Times New Roman" w:cs="Times New Roman"/>
                <w:color w:val="000000"/>
                <w:sz w:val="20"/>
                <w:szCs w:val="20"/>
                <w:lang w:val="uk-UA"/>
              </w:rPr>
              <w:t xml:space="preserve"> навчання населення діям у надзвичайних ситуаціях та з пожежної безпеки (пожежно-технічний мінімум на підприємстві) робітників робітничих професій - не менше одного;</w:t>
            </w:r>
          </w:p>
          <w:p>
            <w:pPr>
              <w:spacing w:after="0" w:line="240" w:lineRule="auto"/>
              <w:jc w:val="left"/>
              <w:rPr>
                <w:rFonts w:hint="default" w:ascii="Times New Roman" w:hAnsi="Times New Roman" w:eastAsia="Times New Roman" w:cs="Times New Roman"/>
                <w:color w:val="000000"/>
                <w:sz w:val="20"/>
                <w:szCs w:val="20"/>
                <w:rtl w:val="0"/>
                <w:lang w:val="uk-UA"/>
              </w:rPr>
            </w:pPr>
            <w:r>
              <w:rPr>
                <w:rFonts w:ascii="Times New Roman" w:hAnsi="Times New Roman" w:eastAsia="Times New Roman" w:cs="Times New Roman"/>
                <w:color w:val="000000"/>
                <w:sz w:val="20"/>
                <w:szCs w:val="20"/>
                <w:lang w:val="uk-UA"/>
              </w:rPr>
              <w:t>Спеціального</w:t>
            </w:r>
            <w:r>
              <w:rPr>
                <w:rFonts w:hint="default" w:ascii="Times New Roman" w:hAnsi="Times New Roman" w:eastAsia="Times New Roman" w:cs="Times New Roman"/>
                <w:color w:val="000000"/>
                <w:sz w:val="20"/>
                <w:szCs w:val="20"/>
                <w:lang w:val="uk-UA"/>
              </w:rPr>
              <w:t xml:space="preserve"> навчання населення діям у надзвичайних ситуаціях та з пожежної безпеки посадових осіб - не менше одного.</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jc w:val="both"/>
              <w:rPr>
                <w:rFonts w:hint="default" w:ascii="Times New Roman" w:hAnsi="Times New Roman" w:cs="Times New Roman"/>
                <w:sz w:val="20"/>
                <w:szCs w:val="20"/>
                <w:lang w:val="uk-UA"/>
              </w:rPr>
            </w:pPr>
            <w:r>
              <w:rPr>
                <w:rFonts w:hint="default" w:ascii="Times New Roman" w:hAnsi="Times New Roman" w:cs="Times New Roman"/>
                <w:sz w:val="20"/>
                <w:szCs w:val="20"/>
                <w:rtl w:val="0"/>
              </w:rPr>
              <w:t xml:space="preserve">Аналогічним вважається договір </w:t>
            </w:r>
            <w:r>
              <w:rPr>
                <w:rFonts w:hint="default" w:ascii="Times New Roman" w:hAnsi="Times New Roman" w:cs="Times New Roman"/>
                <w:sz w:val="20"/>
                <w:szCs w:val="20"/>
              </w:rPr>
              <w:t xml:space="preserve">однакової правової природи (договір підряду) </w:t>
            </w:r>
            <w:r>
              <w:rPr>
                <w:rFonts w:hint="default" w:ascii="Times New Roman" w:hAnsi="Times New Roman" w:cs="Times New Roman"/>
                <w:sz w:val="20"/>
                <w:szCs w:val="20"/>
                <w:lang w:val="uk-UA"/>
              </w:rPr>
              <w:t xml:space="preserve">на </w:t>
            </w:r>
            <w:r>
              <w:rPr>
                <w:rFonts w:hint="default" w:ascii="Times New Roman" w:hAnsi="Times New Roman" w:cs="Times New Roman"/>
                <w:sz w:val="20"/>
                <w:szCs w:val="20"/>
              </w:rPr>
              <w:t>реконструкці</w:t>
            </w:r>
            <w:r>
              <w:rPr>
                <w:rFonts w:hint="default" w:ascii="Times New Roman" w:hAnsi="Times New Roman" w:cs="Times New Roman"/>
                <w:sz w:val="20"/>
                <w:szCs w:val="20"/>
                <w:lang w:val="uk-UA"/>
              </w:rPr>
              <w:t>ю/</w:t>
            </w:r>
            <w:r>
              <w:rPr>
                <w:rFonts w:hint="default" w:ascii="Times New Roman" w:hAnsi="Times New Roman" w:cs="Times New Roman"/>
                <w:sz w:val="20"/>
                <w:szCs w:val="20"/>
              </w:rPr>
              <w:t xml:space="preserve"> капітальний</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 xml:space="preserve">ремонт </w:t>
            </w:r>
            <w:r>
              <w:rPr>
                <w:rFonts w:hint="default" w:ascii="Times New Roman" w:hAnsi="Times New Roman" w:cs="Times New Roman"/>
                <w:sz w:val="20"/>
                <w:szCs w:val="20"/>
                <w:lang w:val="uk-UA"/>
              </w:rPr>
              <w:t>покрівель</w:t>
            </w:r>
            <w:r>
              <w:rPr>
                <w:rFonts w:hint="default" w:ascii="Times New Roman" w:hAnsi="Times New Roman" w:cs="Times New Roman"/>
                <w:sz w:val="20"/>
                <w:szCs w:val="20"/>
              </w:rPr>
              <w:t>, із схожими видами будівельно-монтажних робіт</w:t>
            </w:r>
            <w:r>
              <w:rPr>
                <w:rFonts w:hint="default" w:ascii="Times New Roman" w:hAnsi="Times New Roman" w:cs="Times New Roman"/>
                <w:sz w:val="20"/>
                <w:szCs w:val="20"/>
                <w:lang w:val="uk-UA"/>
              </w:rPr>
              <w:t>.</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3.1.2.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color w:val="000000"/>
                <w:sz w:val="20"/>
                <w:szCs w:val="20"/>
                <w:highlight w:val="none"/>
                <w:rtl w:val="0"/>
              </w:rPr>
              <w:t>3.1.3. копії/ю документів/</w:t>
            </w:r>
            <w:r>
              <w:rPr>
                <w:rFonts w:ascii="Times New Roman" w:hAnsi="Times New Roman" w:eastAsia="Times New Roman" w:cs="Times New Roman"/>
                <w:sz w:val="20"/>
                <w:szCs w:val="20"/>
                <w:highlight w:val="none"/>
                <w:rtl w:val="0"/>
              </w:rPr>
              <w:t>а</w:t>
            </w:r>
            <w:r>
              <w:rPr>
                <w:rFonts w:ascii="Times New Roman" w:hAnsi="Times New Roman" w:eastAsia="Times New Roman" w:cs="Times New Roman"/>
                <w:color w:val="000000"/>
                <w:sz w:val="20"/>
                <w:szCs w:val="20"/>
                <w:highlight w:val="none"/>
                <w:rtl w:val="0"/>
              </w:rPr>
              <w:t xml:space="preserve">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000000"/>
                <w:sz w:val="20"/>
                <w:szCs w:val="20"/>
                <w:highlight w:val="none"/>
                <w:rtl w:val="0"/>
                <w:lang w:val="uk-UA"/>
              </w:rPr>
              <w:t xml:space="preserve">, а саме </w:t>
            </w:r>
            <w:r>
              <w:rPr>
                <w:rFonts w:ascii="Times New Roman" w:hAnsi="Times New Roman" w:cs="Times New Roman"/>
                <w:sz w:val="20"/>
                <w:szCs w:val="20"/>
                <w:highlight w:val="none"/>
              </w:rPr>
              <w:t>акт</w:t>
            </w:r>
            <w:r>
              <w:rPr>
                <w:rFonts w:ascii="Times New Roman" w:hAnsi="Times New Roman" w:cs="Times New Roman"/>
                <w:sz w:val="20"/>
                <w:szCs w:val="20"/>
                <w:highlight w:val="none"/>
                <w:lang w:val="uk-UA"/>
              </w:rPr>
              <w:t>ів</w:t>
            </w:r>
            <w:r>
              <w:rPr>
                <w:rFonts w:hint="default" w:ascii="Times New Roman" w:hAnsi="Times New Roman" w:cs="Times New Roman"/>
                <w:sz w:val="20"/>
                <w:szCs w:val="20"/>
                <w:highlight w:val="none"/>
                <w:lang w:val="uk-UA"/>
              </w:rPr>
              <w:t xml:space="preserve"> (у)</w:t>
            </w:r>
            <w:r>
              <w:rPr>
                <w:rFonts w:ascii="Times New Roman" w:hAnsi="Times New Roman" w:cs="Times New Roman"/>
                <w:sz w:val="20"/>
                <w:szCs w:val="20"/>
                <w:highlight w:val="none"/>
              </w:rPr>
              <w:t xml:space="preserve"> приймання – передачі виконаних робіт форми КБ-2 та довід</w:t>
            </w:r>
            <w:r>
              <w:rPr>
                <w:rFonts w:ascii="Times New Roman" w:hAnsi="Times New Roman" w:cs="Times New Roman"/>
                <w:sz w:val="20"/>
                <w:szCs w:val="20"/>
                <w:highlight w:val="none"/>
                <w:lang w:val="uk-UA"/>
              </w:rPr>
              <w:t>ок</w:t>
            </w:r>
            <w:r>
              <w:rPr>
                <w:rFonts w:hint="default" w:ascii="Times New Roman" w:hAnsi="Times New Roman" w:cs="Times New Roman"/>
                <w:sz w:val="20"/>
                <w:szCs w:val="20"/>
                <w:highlight w:val="none"/>
                <w:lang w:val="uk-UA"/>
              </w:rPr>
              <w:t xml:space="preserve"> (и)</w:t>
            </w:r>
            <w:r>
              <w:rPr>
                <w:rFonts w:ascii="Times New Roman" w:hAnsi="Times New Roman" w:cs="Times New Roman"/>
                <w:sz w:val="20"/>
                <w:szCs w:val="20"/>
                <w:highlight w:val="none"/>
              </w:rPr>
              <w:t xml:space="preserve"> форми КБ-3</w:t>
            </w:r>
            <w:r>
              <w:rPr>
                <w:rFonts w:hint="default" w:ascii="Times New Roman" w:hAnsi="Times New Roman" w:eastAsia="SimSun" w:cs="Times New Roman"/>
                <w:i w:val="0"/>
                <w:iCs w:val="0"/>
                <w:caps w:val="0"/>
                <w:color w:val="000000"/>
                <w:spacing w:val="0"/>
                <w:sz w:val="20"/>
                <w:szCs w:val="20"/>
                <w:highlight w:val="none"/>
                <w:lang w:val="uk-UA"/>
              </w:rPr>
              <w:t>.</w:t>
            </w:r>
          </w:p>
        </w:tc>
      </w:tr>
      <w:tr>
        <w:tblPrEx>
          <w:tblCellMar>
            <w:top w:w="15" w:type="dxa"/>
            <w:left w:w="15" w:type="dxa"/>
            <w:bottom w:w="15" w:type="dxa"/>
            <w:right w:w="15" w:type="dxa"/>
          </w:tblCellMar>
        </w:tblPrEx>
        <w:trPr>
          <w:trHeight w:val="506"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b/>
                <w:color w:val="000000"/>
                <w:sz w:val="20"/>
                <w:szCs w:val="20"/>
                <w:rtl w:val="0"/>
                <w:lang w:val="uk-UA"/>
              </w:rPr>
            </w:pPr>
            <w:r>
              <w:rPr>
                <w:rFonts w:hint="default" w:ascii="Times New Roman" w:hAnsi="Times New Roman" w:eastAsia="Times New Roman" w:cs="Times New Roman"/>
                <w:b/>
                <w:color w:val="000000"/>
                <w:sz w:val="20"/>
                <w:szCs w:val="20"/>
                <w:rtl w:val="0"/>
                <w:lang w:val="uk-UA"/>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hint="default" w:ascii="Times New Roman" w:hAnsi="Times New Roman" w:eastAsia="SimSun" w:cs="Times New Roman"/>
                <w:b/>
                <w:bCs/>
                <w:i w:val="0"/>
                <w:iCs w:val="0"/>
                <w:caps w:val="0"/>
                <w:color w:val="000000"/>
                <w:spacing w:val="0"/>
                <w:sz w:val="20"/>
                <w:szCs w:val="20"/>
              </w:rPr>
            </w:pPr>
            <w:r>
              <w:rPr>
                <w:rFonts w:hint="default" w:ascii="Times New Roman" w:hAnsi="Times New Roman" w:eastAsia="SimSun" w:cs="Times New Roman"/>
                <w:b/>
                <w:bCs/>
                <w:i w:val="0"/>
                <w:iCs w:val="0"/>
                <w:caps w:val="0"/>
                <w:color w:val="000000"/>
                <w:spacing w:val="0"/>
                <w:sz w:val="20"/>
                <w:szCs w:val="20"/>
              </w:rPr>
              <w:t xml:space="preserve">Наявність фінансової спроможності** </w:t>
            </w:r>
          </w:p>
          <w:p>
            <w:pPr>
              <w:spacing w:after="0" w:line="240" w:lineRule="auto"/>
              <w:rPr>
                <w:rFonts w:ascii="Times New Roman" w:hAnsi="Times New Roman" w:eastAsia="Times New Roman" w:cs="Times New Roman"/>
                <w:b/>
                <w:color w:val="000000"/>
                <w:sz w:val="20"/>
                <w:szCs w:val="20"/>
                <w:rtl w:val="0"/>
              </w:rPr>
            </w:pPr>
            <w:r>
              <w:rPr>
                <w:rFonts w:hint="default" w:ascii="Times New Roman" w:hAnsi="Times New Roman" w:eastAsia="SimSun" w:cs="Times New Roman"/>
                <w:i/>
                <w:iCs/>
                <w:caps w:val="0"/>
                <w:color w:val="000000"/>
                <w:spacing w:val="0"/>
                <w:sz w:val="20"/>
                <w:szCs w:val="20"/>
              </w:rPr>
              <w:t>Замовник не вимагає надання підтвердження обсягу річного доходу (виручки)</w:t>
            </w:r>
            <w:r>
              <w:rPr>
                <w:rFonts w:hint="default" w:ascii="Times New Roman" w:hAnsi="Times New Roman" w:eastAsia="SimSun" w:cs="Times New Roman"/>
                <w:i/>
                <w:iCs/>
                <w:caps w:val="0"/>
                <w:color w:val="000000"/>
                <w:spacing w:val="0"/>
                <w:sz w:val="20"/>
                <w:szCs w:val="20"/>
                <w:highlight w:val="none"/>
              </w:rPr>
              <w:t xml:space="preserve"> у розмірі </w:t>
            </w:r>
            <w:r>
              <w:rPr>
                <w:rFonts w:hint="default" w:ascii="Times New Roman" w:hAnsi="Times New Roman" w:eastAsia="SimSun" w:cs="Times New Roman"/>
                <w:i/>
                <w:iCs/>
                <w:caps w:val="0"/>
                <w:color w:val="000000"/>
                <w:spacing w:val="0"/>
                <w:sz w:val="20"/>
                <w:szCs w:val="20"/>
              </w:rPr>
              <w:t xml:space="preserve">більшому, ніж очікувана вартість предмета закупівлі </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w:t>
            </w:r>
            <w:r>
              <w:rPr>
                <w:rFonts w:hint="default" w:ascii="Times New Roman" w:hAnsi="Times New Roman" w:eastAsia="SimSun" w:cs="Times New Roman"/>
                <w:i w:val="0"/>
                <w:iCs w:val="0"/>
                <w:caps w:val="0"/>
                <w:color w:val="000000"/>
                <w:spacing w:val="0"/>
                <w:sz w:val="20"/>
                <w:szCs w:val="20"/>
                <w:highlight w:val="none"/>
                <w:lang w:val="uk-UA"/>
              </w:rPr>
              <w:t>3</w:t>
            </w:r>
            <w:r>
              <w:rPr>
                <w:rFonts w:hint="default" w:ascii="Times New Roman" w:hAnsi="Times New Roman" w:eastAsia="SimSun" w:cs="Times New Roman"/>
                <w:i w:val="0"/>
                <w:iCs w:val="0"/>
                <w:caps w:val="0"/>
                <w:color w:val="000000"/>
                <w:spacing w:val="0"/>
                <w:sz w:val="20"/>
                <w:szCs w:val="20"/>
                <w:highlight w:val="none"/>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lang w:val="uk-UA"/>
              </w:rPr>
            </w:pPr>
            <w:r>
              <w:rPr>
                <w:rStyle w:val="10"/>
                <w:rFonts w:hint="default" w:ascii="Times New Roman" w:hAnsi="Times New Roman" w:eastAsia="sans-serif" w:cs="Times New Roman"/>
                <w:i w:val="0"/>
                <w:iCs w:val="0"/>
                <w:caps w:val="0"/>
                <w:color w:val="auto"/>
                <w:spacing w:val="0"/>
                <w:sz w:val="20"/>
                <w:szCs w:val="20"/>
                <w:highlight w:val="none"/>
              </w:rPr>
              <w:t>Учасник має підтвердити, що фінансова звітність</w:t>
            </w:r>
            <w:r>
              <w:rPr>
                <w:rStyle w:val="10"/>
                <w:rFonts w:hint="default" w:ascii="Times New Roman" w:hAnsi="Times New Roman" w:eastAsia="sans-serif"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000000"/>
                <w:spacing w:val="0"/>
                <w:sz w:val="20"/>
                <w:szCs w:val="20"/>
                <w:highlight w:val="none"/>
              </w:rPr>
              <w:t>скорочен</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фінансов</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звітність</w:t>
            </w:r>
            <w:r>
              <w:rPr>
                <w:rStyle w:val="10"/>
                <w:rFonts w:hint="default" w:ascii="Times New Roman" w:hAnsi="Times New Roman" w:eastAsia="sans-serif" w:cs="Times New Roman"/>
                <w:i w:val="0"/>
                <w:iCs w:val="0"/>
                <w:caps w:val="0"/>
                <w:color w:val="auto"/>
                <w:spacing w:val="0"/>
                <w:sz w:val="20"/>
                <w:szCs w:val="20"/>
                <w:highlight w:val="none"/>
              </w:rPr>
              <w:t xml:space="preserve">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r>
              <w:rPr>
                <w:rStyle w:val="10"/>
                <w:rFonts w:hint="default" w:ascii="Times New Roman" w:hAnsi="Times New Roman" w:eastAsia="sans-serif"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000000"/>
                <w:spacing w:val="0"/>
                <w:sz w:val="20"/>
                <w:szCs w:val="20"/>
                <w:highlight w:val="none"/>
                <w:lang w:val="uk-UA"/>
              </w:rPr>
              <w:t xml:space="preserve"> </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lang w:val="uk-UA"/>
              </w:rPr>
              <w:t>Для підтвердження фінансової спроможності річний дохід (виручка) за попередній рік повинен становити не менше 95% вартості предмета закупівлі.</w:t>
            </w:r>
            <w:r>
              <w:rPr>
                <w:rFonts w:hint="default" w:ascii="Times New Roman" w:hAnsi="Times New Roman" w:eastAsia="SimSun" w:cs="Times New Roman"/>
                <w:i w:val="0"/>
                <w:iCs w:val="0"/>
                <w:caps w:val="0"/>
                <w:color w:val="000000"/>
                <w:spacing w:val="0"/>
                <w:sz w:val="20"/>
                <w:szCs w:val="20"/>
                <w:highlight w:val="none"/>
              </w:rPr>
              <w:t xml:space="preserve"> </w:t>
            </w:r>
          </w:p>
          <w:p>
            <w:pPr>
              <w:spacing w:after="0" w:line="240" w:lineRule="auto"/>
              <w:jc w:val="both"/>
              <w:rPr>
                <w:rFonts w:ascii="Times New Roman" w:hAnsi="Times New Roman" w:eastAsia="Times New Roman" w:cs="Times New Roman"/>
                <w:color w:val="000000"/>
                <w:sz w:val="20"/>
                <w:szCs w:val="20"/>
                <w:rtl w:val="0"/>
              </w:rPr>
            </w:pPr>
            <w:r>
              <w:rPr>
                <w:rFonts w:hint="default" w:ascii="Times New Roman" w:hAnsi="Times New Roman" w:eastAsia="SimSun" w:cs="Times New Roman"/>
                <w:i w:val="0"/>
                <w:iCs w:val="0"/>
                <w:caps w:val="0"/>
                <w:color w:val="000000"/>
                <w:spacing w:val="0"/>
                <w:sz w:val="20"/>
                <w:szCs w:val="20"/>
                <w:highlight w:val="none"/>
              </w:rPr>
              <w:t>Для підтвердження можливості виконати роботи за договором без отримання авансового платежу учасник у складі пропозиції надає гарантійний лист.</w:t>
            </w:r>
          </w:p>
        </w:tc>
      </w:tr>
    </w:tbl>
    <w:p>
      <w:pPr>
        <w:spacing w:before="240"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center"/>
        <w:rPr>
          <w:rFonts w:ascii="Times New Roman" w:hAnsi="Times New Roman" w:eastAsia="Times New Roman" w:cs="Times New Roman"/>
          <w:color w:val="00B050"/>
          <w:sz w:val="20"/>
          <w:szCs w:val="20"/>
          <w:highlight w:val="white"/>
        </w:rPr>
      </w:pPr>
      <w:bookmarkStart w:id="0" w:name="_heading=h.gjdgxs" w:colFirst="0" w:colLast="0"/>
      <w:bookmarkEnd w:id="0"/>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Pr>
          <w:rFonts w:ascii="Times New Roman" w:hAnsi="Times New Roman" w:eastAsia="Times New Roman" w:cs="Times New Roman"/>
          <w:color w:val="auto"/>
          <w:sz w:val="28"/>
          <w:szCs w:val="28"/>
          <w:highlight w:val="none"/>
          <w:rtl w:val="0"/>
        </w:rPr>
        <w:t xml:space="preserve"> </w:t>
      </w:r>
      <w:r>
        <w:rPr>
          <w:rFonts w:ascii="Times New Roman" w:hAnsi="Times New Roman" w:eastAsia="Times New Roman" w:cs="Times New Roman"/>
          <w:color w:val="auto"/>
          <w:sz w:val="20"/>
          <w:szCs w:val="20"/>
          <w:highlight w:val="none"/>
          <w:rtl w:val="0"/>
        </w:rPr>
        <w:t>підстав, визначених пунктом 47 Особливостей.</w:t>
      </w:r>
    </w:p>
    <w:p>
      <w:pPr>
        <w:spacing w:after="80"/>
        <w:jc w:val="both"/>
        <w:rPr>
          <w:rFonts w:ascii="Times New Roman" w:hAnsi="Times New Roman" w:eastAsia="Times New Roman" w:cs="Times New Roman"/>
          <w:color w:val="00B050"/>
          <w:sz w:val="20"/>
          <w:szCs w:val="20"/>
          <w:highlight w:val="yellow"/>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 xml:space="preserve">Переможець процедури закупівлі у строк, що </w:t>
      </w:r>
      <w:r>
        <w:rPr>
          <w:rFonts w:ascii="Times New Roman" w:hAnsi="Times New Roman" w:eastAsia="Times New Roman" w:cs="Times New Roman"/>
          <w:b/>
          <w:i/>
          <w:color w:val="auto"/>
          <w:sz w:val="20"/>
          <w:szCs w:val="20"/>
          <w:highlight w:val="none"/>
          <w:rtl w:val="0"/>
        </w:rPr>
        <w:t xml:space="preserve">не перевищує чотири дні </w:t>
      </w:r>
      <w:r>
        <w:rPr>
          <w:rFonts w:ascii="Times New Roman" w:hAnsi="Times New Roman" w:eastAsia="Times New Roman" w:cs="Times New Roman"/>
          <w:color w:val="auto"/>
          <w:sz w:val="20"/>
          <w:szCs w:val="20"/>
          <w:highlight w:val="non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4"/>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highlight w:val="white"/>
              </w:rPr>
            </w:pP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5"/>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sz w:val="20"/>
                <w:szCs w:val="20"/>
              </w:rPr>
            </w:pPr>
          </w:p>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sz w:val="20"/>
                <w:szCs w:val="20"/>
                <w:rtl w:val="0"/>
              </w:rPr>
              <w:t>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rPr>
            </w:pP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6"/>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hint="default" w:ascii="Times New Roman" w:hAnsi="Times New Roman" w:eastAsia="Times New Roman" w:cs="Times New Roman"/>
                <w:color w:val="000000"/>
                <w:sz w:val="20"/>
                <w:szCs w:val="20"/>
                <w:rtl w:val="0"/>
                <w:lang w:val="uk-UA"/>
              </w:rPr>
            </w:pPr>
            <w:r>
              <w:rPr>
                <w:rFonts w:ascii="Times New Roman" w:hAnsi="Times New Roman" w:eastAsia="Times New Roman" w:cs="Times New Roman"/>
                <w:color w:val="000000"/>
                <w:sz w:val="20"/>
                <w:szCs w:val="20"/>
                <w:rtl w:val="0"/>
                <w:lang w:val="uk-UA"/>
              </w:rPr>
              <w:t>Інформаційна</w:t>
            </w:r>
            <w:r>
              <w:rPr>
                <w:rFonts w:hint="default" w:ascii="Times New Roman" w:hAnsi="Times New Roman" w:eastAsia="Times New Roman" w:cs="Times New Roman"/>
                <w:color w:val="000000"/>
                <w:sz w:val="20"/>
                <w:szCs w:val="20"/>
                <w:rtl w:val="0"/>
                <w:lang w:val="uk-UA"/>
              </w:rPr>
              <w:t xml:space="preserve"> довідка про осіб, які мають право підпису тендерної пропозиції.</w:t>
            </w:r>
          </w:p>
          <w:p>
            <w:pPr>
              <w:spacing w:after="0" w:line="240" w:lineRule="auto"/>
              <w:ind w:left="100" w:firstLine="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color w:val="000000"/>
                <w:sz w:val="20"/>
                <w:szCs w:val="20"/>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rPr>
            </w:pPr>
            <w:r>
              <w:rPr>
                <w:rFonts w:ascii="Times New Roman" w:hAnsi="Times New Roman" w:eastAsia="Times New Roman" w:cs="Times New Roman"/>
                <w:b/>
                <w:color w:val="000000"/>
                <w:sz w:val="20"/>
                <w:szCs w:val="20"/>
                <w:rtl w:val="0"/>
              </w:rPr>
              <w:t xml:space="preserve">Достовірна інформація у вигляді довідки довільної форми, </w:t>
            </w:r>
            <w:r>
              <w:rPr>
                <w:rFonts w:ascii="Times New Roman" w:hAnsi="Times New Roman" w:eastAsia="Times New Roman" w:cs="Times New Roman"/>
                <w:sz w:val="20"/>
                <w:szCs w:val="20"/>
                <w:rtl w:val="0"/>
              </w:rPr>
              <w:t>у</w:t>
            </w:r>
            <w:r>
              <w:rPr>
                <w:rFonts w:ascii="Times New Roman" w:hAnsi="Times New Roman" w:eastAsia="Times New Roman" w:cs="Times New Roman"/>
                <w:color w:val="000000"/>
                <w:sz w:val="20"/>
                <w:szCs w:val="20"/>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w:t>
            </w:r>
            <w:r>
              <w:rPr>
                <w:rFonts w:ascii="Times New Roman" w:hAnsi="Times New Roman" w:eastAsia="Times New Roman" w:cs="Times New Roman"/>
                <w:i/>
                <w:color w:val="000000"/>
                <w:sz w:val="20"/>
                <w:szCs w:val="20"/>
                <w:rtl w:val="0"/>
                <w:lang w:val="uk-UA"/>
              </w:rPr>
              <w:t>Я</w:t>
            </w:r>
            <w:r>
              <w:rPr>
                <w:rFonts w:ascii="Times New Roman" w:hAnsi="Times New Roman" w:eastAsia="Times New Roman" w:cs="Times New Roman"/>
                <w:i/>
                <w:color w:val="000000"/>
                <w:sz w:val="20"/>
                <w:szCs w:val="20"/>
                <w:rtl w:val="0"/>
              </w:rPr>
              <w:t xml:space="preserve">кщо отримання дозволу або ліцензії на провадження такого виду господарської діяльності </w:t>
            </w:r>
            <w:r>
              <w:rPr>
                <w:rFonts w:ascii="Times New Roman" w:hAnsi="Times New Roman" w:eastAsia="Times New Roman" w:cs="Times New Roman"/>
                <w:i/>
                <w:color w:val="000000"/>
                <w:sz w:val="20"/>
                <w:szCs w:val="20"/>
                <w:rtl w:val="0"/>
                <w:lang w:val="uk-UA"/>
              </w:rPr>
              <w:t>не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передбачено законом</w:t>
            </w:r>
            <w:r>
              <w:rPr>
                <w:rFonts w:hint="default" w:ascii="Times New Roman" w:hAnsi="Times New Roman" w:eastAsia="Times New Roman" w:cs="Times New Roman"/>
                <w:i/>
                <w:color w:val="000000"/>
                <w:sz w:val="20"/>
                <w:szCs w:val="20"/>
                <w:rtl w:val="0"/>
                <w:lang w:val="uk-UA"/>
              </w:rPr>
              <w:t>, Учасник надає лист-роз</w:t>
            </w:r>
            <w:r>
              <w:rPr>
                <w:rFonts w:hint="default" w:ascii="Times New Roman" w:hAnsi="Times New Roman" w:eastAsia="Times New Roman" w:cs="Times New Roman"/>
                <w:i/>
                <w:color w:val="000000"/>
                <w:sz w:val="20"/>
                <w:szCs w:val="20"/>
                <w:rtl w:val="0"/>
                <w:lang w:val="en-US"/>
              </w:rPr>
              <w:t>’</w:t>
            </w:r>
            <w:r>
              <w:rPr>
                <w:rFonts w:hint="default" w:ascii="Times New Roman" w:hAnsi="Times New Roman" w:eastAsia="Times New Roman" w:cs="Times New Roman"/>
                <w:i/>
                <w:color w:val="000000"/>
                <w:sz w:val="20"/>
                <w:szCs w:val="20"/>
                <w:rtl w:val="0"/>
                <w:lang w:val="uk-UA"/>
              </w:rPr>
              <w:t>яснення з посиланням на діючі нормативно-правові акти</w:t>
            </w:r>
            <w:r>
              <w:rPr>
                <w:rFonts w:ascii="Times New Roman" w:hAnsi="Times New Roman" w:eastAsia="Times New Roman" w:cs="Times New Roman"/>
                <w:i/>
                <w:color w:val="000000"/>
                <w:sz w:val="20"/>
                <w:szCs w:val="20"/>
                <w:rtl w:val="0"/>
              </w:rPr>
              <w:t>).</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sz w:val="20"/>
                <w:szCs w:val="20"/>
                <w:highlight w:val="white"/>
                <w:rtl w:val="0"/>
              </w:rPr>
              <w:t>Ісламської Республіки Іран</w:t>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
    <w:nsid w:val="1CBFF35E"/>
    <w:multiLevelType w:val="multilevel"/>
    <w:tmpl w:val="1CBFF35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527D63"/>
    <w:rsid w:val="2C0742A2"/>
    <w:rsid w:val="364813E7"/>
    <w:rsid w:val="52A92DC8"/>
    <w:rsid w:val="5B7F271C"/>
    <w:rsid w:val="5C9D3A43"/>
    <w:rsid w:val="6C551F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semiHidden/>
    <w:unhideWhenUsed/>
    <w:qFormat/>
    <w:uiPriority w:val="99"/>
    <w:rPr>
      <w:color w:val="0000FF"/>
      <w:u w:val="single"/>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CellMar>
        <w:top w:w="0" w:type="dxa"/>
        <w:left w:w="0" w:type="dxa"/>
        <w:bottom w:w="0" w:type="dxa"/>
        <w:right w:w="0" w:type="dxa"/>
      </w:tblCellMar>
    </w:tblPr>
  </w:style>
  <w:style w:type="character" w:customStyle="1" w:styleId="16">
    <w:name w:val="apple-tab-span"/>
    <w:basedOn w:val="8"/>
    <w:qFormat/>
    <w:uiPriority w:val="0"/>
  </w:style>
  <w:style w:type="paragraph" w:styleId="17">
    <w:name w:val="List Paragraph"/>
    <w:basedOn w:val="1"/>
    <w:qFormat/>
    <w:uiPriority w:val="34"/>
    <w:pPr>
      <w:ind w:left="720"/>
      <w:contextualSpacing/>
    </w:pPr>
  </w:style>
  <w:style w:type="table" w:customStyle="1" w:styleId="18">
    <w:name w:val="_Style 26"/>
    <w:basedOn w:val="15"/>
    <w:qFormat/>
    <w:uiPriority w:val="0"/>
    <w:tblPr>
      <w:tblCellMar>
        <w:top w:w="15" w:type="dxa"/>
        <w:left w:w="15" w:type="dxa"/>
        <w:bottom w:w="15" w:type="dxa"/>
        <w:right w:w="15" w:type="dxa"/>
      </w:tblCellMar>
    </w:tblPr>
  </w:style>
  <w:style w:type="table" w:customStyle="1" w:styleId="19">
    <w:name w:val="_Style 27"/>
    <w:basedOn w:val="15"/>
    <w:qFormat/>
    <w:uiPriority w:val="0"/>
    <w:tblPr>
      <w:tblCellMar>
        <w:top w:w="15" w:type="dxa"/>
        <w:left w:w="15" w:type="dxa"/>
        <w:bottom w:w="15" w:type="dxa"/>
        <w:right w:w="15" w:type="dxa"/>
      </w:tblCellMar>
    </w:tblPr>
  </w:style>
  <w:style w:type="table" w:customStyle="1" w:styleId="20">
    <w:name w:val="_Style 28"/>
    <w:basedOn w:val="15"/>
    <w:qFormat/>
    <w:uiPriority w:val="0"/>
    <w:tblPr>
      <w:tblCellMar>
        <w:top w:w="15" w:type="dxa"/>
        <w:left w:w="15" w:type="dxa"/>
        <w:bottom w:w="15" w:type="dxa"/>
        <w:right w:w="15" w:type="dxa"/>
      </w:tblCellMar>
    </w:tblPr>
  </w:style>
  <w:style w:type="table" w:customStyle="1" w:styleId="21">
    <w:name w:val="_Style 29"/>
    <w:basedOn w:val="15"/>
    <w:qFormat/>
    <w:uiPriority w:val="0"/>
    <w:tblPr>
      <w:tblCellMar>
        <w:top w:w="15" w:type="dxa"/>
        <w:left w:w="15" w:type="dxa"/>
        <w:bottom w:w="15" w:type="dxa"/>
        <w:right w:w="15" w:type="dxa"/>
      </w:tblCellMar>
    </w:tblPr>
  </w:style>
  <w:style w:type="table" w:customStyle="1" w:styleId="22">
    <w:name w:val="_Style 30"/>
    <w:basedOn w:val="15"/>
    <w:qFormat/>
    <w:uiPriority w:val="0"/>
    <w:tblPr>
      <w:tblCellMar>
        <w:top w:w="15" w:type="dxa"/>
        <w:left w:w="15" w:type="dxa"/>
        <w:bottom w:w="15" w:type="dxa"/>
        <w:right w:w="15" w:type="dxa"/>
      </w:tblCellMar>
    </w:tblPr>
  </w:style>
  <w:style w:type="table" w:customStyle="1" w:styleId="23">
    <w:name w:val="_Style 31"/>
    <w:basedOn w:val="15"/>
    <w:qFormat/>
    <w:uiPriority w:val="0"/>
    <w:tblPr>
      <w:tblCellMar>
        <w:top w:w="15" w:type="dxa"/>
        <w:left w:w="15" w:type="dxa"/>
        <w:bottom w:w="15" w:type="dxa"/>
        <w:right w:w="15" w:type="dxa"/>
      </w:tblCellMar>
    </w:tblPr>
  </w:style>
  <w:style w:type="table" w:customStyle="1" w:styleId="24">
    <w:name w:val="_Style 32"/>
    <w:basedOn w:val="15"/>
    <w:qFormat/>
    <w:uiPriority w:val="0"/>
    <w:tblPr>
      <w:tblCellMar>
        <w:top w:w="15" w:type="dxa"/>
        <w:left w:w="15" w:type="dxa"/>
        <w:bottom w:w="15" w:type="dxa"/>
        <w:right w:w="15" w:type="dxa"/>
      </w:tblCellMar>
    </w:tblPr>
  </w:style>
  <w:style w:type="paragraph" w:customStyle="1" w:styleId="25">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5"/>
    <w:basedOn w:val="15"/>
    <w:qFormat/>
    <w:uiPriority w:val="0"/>
    <w:tblPr>
      <w:tblCellMar>
        <w:top w:w="15" w:type="dxa"/>
        <w:left w:w="15" w:type="dxa"/>
        <w:bottom w:w="15" w:type="dxa"/>
        <w:right w:w="15" w:type="dxa"/>
      </w:tblCellMar>
    </w:tblPr>
  </w:style>
  <w:style w:type="table" w:customStyle="1" w:styleId="28">
    <w:name w:val="_Style 36"/>
    <w:basedOn w:val="15"/>
    <w:qFormat/>
    <w:uiPriority w:val="0"/>
    <w:tblPr>
      <w:tblCellMar>
        <w:top w:w="15" w:type="dxa"/>
        <w:left w:w="15" w:type="dxa"/>
        <w:bottom w:w="15" w:type="dxa"/>
        <w:right w:w="15" w:type="dxa"/>
      </w:tblCellMar>
    </w:tblPr>
  </w:style>
  <w:style w:type="table" w:customStyle="1" w:styleId="29">
    <w:name w:val="_Style 37"/>
    <w:basedOn w:val="15"/>
    <w:qFormat/>
    <w:uiPriority w:val="0"/>
    <w:tblPr>
      <w:tblCellMar>
        <w:top w:w="15" w:type="dxa"/>
        <w:left w:w="15" w:type="dxa"/>
        <w:bottom w:w="15" w:type="dxa"/>
        <w:right w:w="15" w:type="dxa"/>
      </w:tblCellMar>
    </w:tblPr>
  </w:style>
  <w:style w:type="table" w:customStyle="1" w:styleId="30">
    <w:name w:val="_Style 38"/>
    <w:basedOn w:val="15"/>
    <w:qFormat/>
    <w:uiPriority w:val="0"/>
    <w:tblPr>
      <w:tblCellMar>
        <w:top w:w="15" w:type="dxa"/>
        <w:left w:w="15" w:type="dxa"/>
        <w:bottom w:w="15" w:type="dxa"/>
        <w:right w:w="15" w:type="dxa"/>
      </w:tblCellMar>
    </w:tblPr>
  </w:style>
  <w:style w:type="table" w:customStyle="1" w:styleId="31">
    <w:name w:val="_Style 39"/>
    <w:basedOn w:val="15"/>
    <w:qFormat/>
    <w:uiPriority w:val="0"/>
    <w:tblPr>
      <w:tblCellMar>
        <w:top w:w="15" w:type="dxa"/>
        <w:left w:w="15" w:type="dxa"/>
        <w:bottom w:w="15" w:type="dxa"/>
        <w:right w:w="15" w:type="dxa"/>
      </w:tblCellMar>
    </w:tblPr>
  </w:style>
  <w:style w:type="table" w:customStyle="1" w:styleId="32">
    <w:name w:val="_Style 41"/>
    <w:basedOn w:val="15"/>
    <w:qFormat/>
    <w:uiPriority w:val="0"/>
    <w:tblPr>
      <w:tblCellMar>
        <w:top w:w="15" w:type="dxa"/>
        <w:left w:w="15" w:type="dxa"/>
        <w:bottom w:w="15" w:type="dxa"/>
        <w:right w:w="15" w:type="dxa"/>
      </w:tblCellMar>
    </w:tblPr>
  </w:style>
  <w:style w:type="table" w:customStyle="1" w:styleId="33">
    <w:name w:val="_Style 42"/>
    <w:basedOn w:val="15"/>
    <w:qFormat/>
    <w:uiPriority w:val="0"/>
    <w:tblPr>
      <w:tblCellMar>
        <w:top w:w="15" w:type="dxa"/>
        <w:left w:w="15" w:type="dxa"/>
        <w:bottom w:w="15" w:type="dxa"/>
        <w:right w:w="15" w:type="dxa"/>
      </w:tblCellMar>
    </w:tblPr>
  </w:style>
  <w:style w:type="table" w:customStyle="1" w:styleId="34">
    <w:name w:val="_Style 43"/>
    <w:basedOn w:val="15"/>
    <w:qFormat/>
    <w:uiPriority w:val="0"/>
    <w:tblPr>
      <w:tblCellMar>
        <w:top w:w="15" w:type="dxa"/>
        <w:left w:w="15" w:type="dxa"/>
        <w:bottom w:w="15" w:type="dxa"/>
        <w:right w:w="15" w:type="dxa"/>
      </w:tblCellMar>
    </w:tblPr>
  </w:style>
  <w:style w:type="table" w:customStyle="1" w:styleId="35">
    <w:name w:val="_Style 44"/>
    <w:basedOn w:val="15"/>
    <w:qFormat/>
    <w:uiPriority w:val="0"/>
    <w:tblPr>
      <w:tblCellMar>
        <w:top w:w="15" w:type="dxa"/>
        <w:left w:w="15" w:type="dxa"/>
        <w:bottom w:w="15" w:type="dxa"/>
        <w:right w:w="15" w:type="dxa"/>
      </w:tblCellMar>
    </w:tblPr>
  </w:style>
  <w:style w:type="table" w:customStyle="1" w:styleId="36">
    <w:name w:val="_Style 45"/>
    <w:basedOn w:val="15"/>
    <w:qFormat/>
    <w:uiPriority w:val="0"/>
    <w:tblPr>
      <w:tblCellMar>
        <w:top w:w="15" w:type="dxa"/>
        <w:left w:w="15" w:type="dxa"/>
        <w:bottom w:w="15" w:type="dxa"/>
        <w:right w:w="15" w:type="dxa"/>
      </w:tblCellMar>
    </w:tblPr>
  </w:style>
  <w:style w:type="table" w:customStyle="1" w:styleId="37">
    <w:name w:val="_Style 46"/>
    <w:basedOn w:val="15"/>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58</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2024-04-17T11:14:20Z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C5F2A327688946198C770D2B930AD1F0_12</vt:lpwstr>
  </property>
</Properties>
</file>