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ДОДАТОК №1</w:t>
      </w:r>
    </w:p>
    <w:p>
      <w:pPr>
        <w:rPr>
          <w:rFonts w:hint="default" w:ascii="Times New Roman" w:hAnsi="Times New Roman" w:cs="Times New Roman"/>
          <w:sz w:val="24"/>
          <w:szCs w:val="24"/>
          <w:lang w:val="uk-UA"/>
        </w:rPr>
      </w:pPr>
    </w:p>
    <w:p>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Інформація про технічні, якісні та кількісні характеристики предмета закупівлі</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uk-UA"/>
        </w:rPr>
        <w:t>Технічне завдання</w:t>
      </w:r>
    </w:p>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на закупівлю: “Реконструкція відведення дощових вод дренажного лотка у каналізаційний колектор на вул. Академіка А. Сахарова”. Коригування </w:t>
      </w:r>
    </w:p>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ДК 021:2015  _________________________________________________________________________</w:t>
      </w:r>
      <w:bookmarkStart w:id="1" w:name="_GoBack"/>
      <w:bookmarkEnd w:id="1"/>
    </w:p>
    <w:p>
      <w:pPr>
        <w:rPr>
          <w:rFonts w:hint="default" w:ascii="Times New Roman" w:hAnsi="Times New Roman" w:cs="Times New Roman"/>
          <w:sz w:val="24"/>
          <w:szCs w:val="24"/>
          <w:lang w:val="uk-UA"/>
        </w:rPr>
      </w:pPr>
    </w:p>
    <w:p>
      <w:pPr>
        <w:ind w:firstLine="700" w:firstLineChars="0"/>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Найменування предмета закупівлі: </w:t>
      </w:r>
      <w:r>
        <w:rPr>
          <w:rFonts w:hint="default" w:ascii="Times New Roman" w:hAnsi="Times New Roman" w:cs="Times New Roman"/>
          <w:sz w:val="24"/>
          <w:szCs w:val="24"/>
          <w:lang w:val="uk-UA"/>
        </w:rPr>
        <w:t>“Реконструкція відведення дощових вод дренажного лотка у каналізаційний колектор на вул. Академіка А. Сахарова”. Коригування (далі - роботи).</w:t>
      </w:r>
    </w:p>
    <w:p>
      <w:pPr>
        <w:ind w:firstLine="700" w:firstLineChars="0"/>
        <w:rPr>
          <w:rFonts w:hint="default" w:ascii="Times New Roman" w:hAnsi="Times New Roman" w:cs="Times New Roman"/>
          <w:sz w:val="24"/>
          <w:szCs w:val="24"/>
          <w:lang w:val="uk-UA"/>
        </w:rPr>
      </w:pPr>
      <w:r>
        <w:rPr>
          <w:rFonts w:hint="default" w:ascii="Times New Roman" w:hAnsi="Times New Roman" w:cs="Times New Roman"/>
          <w:sz w:val="24"/>
          <w:szCs w:val="24"/>
          <w:lang w:val="uk-UA"/>
        </w:rPr>
        <w:t>Місце виконання робіт: вул. Академіка А.Сахарова.</w:t>
      </w:r>
    </w:p>
    <w:p>
      <w:pPr>
        <w:ind w:firstLine="700" w:firstLineChars="0"/>
        <w:rPr>
          <w:rFonts w:hint="default" w:ascii="Times New Roman" w:hAnsi="Times New Roman" w:cs="Times New Roman"/>
          <w:sz w:val="24"/>
          <w:szCs w:val="24"/>
          <w:lang w:val="uk-UA"/>
        </w:rPr>
      </w:pPr>
      <w:r>
        <w:rPr>
          <w:rFonts w:hint="default" w:ascii="Times New Roman" w:hAnsi="Times New Roman" w:cs="Times New Roman"/>
          <w:sz w:val="24"/>
          <w:szCs w:val="24"/>
          <w:lang w:val="uk-UA"/>
        </w:rPr>
        <w:t>Клас наслідків об</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єкта - СС1.</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Роботи виконуються  із застосуванням обладнання та матеріалів, зазначених в розробленій та затвердженій проектній документації. З проектною документацією можна ознайомитись у робочі дні </w:t>
      </w:r>
      <w:r>
        <w:rPr>
          <w:rFonts w:hint="default" w:ascii="Times New Roman" w:hAnsi="Times New Roman" w:cs="Times New Roman"/>
          <w:sz w:val="24"/>
          <w:szCs w:val="24"/>
        </w:rPr>
        <w:t>з 9</w:t>
      </w:r>
      <w:r>
        <w:rPr>
          <w:rFonts w:hint="default" w:ascii="Times New Roman" w:hAnsi="Times New Roman" w:cs="Times New Roman"/>
          <w:sz w:val="24"/>
          <w:szCs w:val="24"/>
          <w:lang w:val="uk-UA"/>
        </w:rPr>
        <w:t>.</w:t>
      </w:r>
      <w:r>
        <w:rPr>
          <w:rFonts w:hint="default" w:ascii="Times New Roman" w:hAnsi="Times New Roman" w:cs="Times New Roman"/>
          <w:sz w:val="24"/>
          <w:szCs w:val="24"/>
        </w:rPr>
        <w:t>00 до 16</w:t>
      </w:r>
      <w:r>
        <w:rPr>
          <w:rFonts w:hint="default" w:ascii="Times New Roman" w:hAnsi="Times New Roman" w:cs="Times New Roman"/>
          <w:sz w:val="24"/>
          <w:szCs w:val="24"/>
          <w:lang w:val="uk-UA"/>
        </w:rPr>
        <w:t>.</w:t>
      </w:r>
      <w:r>
        <w:rPr>
          <w:rFonts w:hint="default" w:ascii="Times New Roman" w:hAnsi="Times New Roman" w:cs="Times New Roman"/>
          <w:sz w:val="24"/>
          <w:szCs w:val="24"/>
        </w:rPr>
        <w:t>00 /</w:t>
      </w:r>
      <w:r>
        <w:rPr>
          <w:rFonts w:hint="default" w:ascii="Times New Roman" w:hAnsi="Times New Roman" w:cs="Times New Roman"/>
          <w:sz w:val="24"/>
          <w:szCs w:val="24"/>
          <w:lang w:val="uk-UA"/>
        </w:rPr>
        <w:t>понеділок-п'ятниця</w:t>
      </w:r>
      <w:r>
        <w:rPr>
          <w:rFonts w:hint="default" w:ascii="Times New Roman" w:hAnsi="Times New Roman" w:cs="Times New Roman"/>
          <w:sz w:val="24"/>
          <w:szCs w:val="24"/>
        </w:rPr>
        <w:t>/</w:t>
      </w:r>
      <w:r>
        <w:rPr>
          <w:rFonts w:hint="default" w:ascii="Times New Roman" w:hAnsi="Times New Roman" w:cs="Times New Roman"/>
          <w:sz w:val="24"/>
          <w:szCs w:val="24"/>
          <w:lang w:val="uk-UA"/>
        </w:rPr>
        <w:t xml:space="preserve"> за адресою</w:t>
      </w:r>
      <w:r>
        <w:rPr>
          <w:rFonts w:hint="default" w:ascii="Times New Roman" w:hAnsi="Times New Roman" w:cs="Times New Roman"/>
          <w:sz w:val="24"/>
          <w:szCs w:val="24"/>
        </w:rPr>
        <w:t xml:space="preserve">: м. Львів, вул. </w:t>
      </w:r>
      <w:r>
        <w:rPr>
          <w:rFonts w:hint="default" w:ascii="Times New Roman" w:hAnsi="Times New Roman" w:cs="Times New Roman"/>
          <w:sz w:val="24"/>
          <w:szCs w:val="24"/>
          <w:lang w:val="uk-UA"/>
        </w:rPr>
        <w:t>А.Сахарова</w:t>
      </w:r>
      <w:r>
        <w:rPr>
          <w:rFonts w:hint="default" w:ascii="Times New Roman" w:hAnsi="Times New Roman" w:cs="Times New Roman"/>
          <w:sz w:val="24"/>
          <w:szCs w:val="24"/>
        </w:rPr>
        <w:t>, 2</w:t>
      </w:r>
      <w:r>
        <w:rPr>
          <w:rFonts w:hint="default" w:ascii="Times New Roman" w:hAnsi="Times New Roman" w:cs="Times New Roman"/>
          <w:sz w:val="24"/>
          <w:szCs w:val="24"/>
          <w:lang w:val="uk-UA"/>
        </w:rPr>
        <w:t xml:space="preserve">. </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Контактна особа: Кочмар Ігор Іванович, тел.: (032) 237-65-20</w:t>
      </w:r>
    </w:p>
    <w:p>
      <w:pPr>
        <w:rPr>
          <w:rFonts w:hint="default" w:ascii="Times New Roman" w:hAnsi="Times New Roman" w:cs="Times New Roman"/>
          <w:sz w:val="24"/>
          <w:szCs w:val="24"/>
          <w:lang w:val="uk-UA"/>
        </w:rPr>
      </w:pPr>
    </w:p>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Вимоги:</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Роботи повинні бути виконанні згідно з проектною документацією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Роботи та матеріальні ресурси, що використовуються виконавцем, повинні відповідати вимогам «Настанов з визначення вартості будівництва» та «Настанов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Виконавець гарантує якість закінчених будівельних робіт, досягнення показників, визначених у проектній документації, та можливість експлуатації Об’єкта будівництва протягом гарантійного строку, що відповідає чинному законодавству, вимогам будівельних норм, стандартів та правил.</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Виконавець протягом десяти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 Гарантійний строк продовжується на час, протягом якого Об’єкт не міг експлуатуватися внаслідок недоліків, які виникли з вини виконавця.) </w:t>
      </w:r>
    </w:p>
    <w:p>
      <w:pPr>
        <w:ind w:firstLine="700" w:firstLineChars="0"/>
        <w:jc w:val="both"/>
        <w:rPr>
          <w:rFonts w:hint="default" w:ascii="Times New Roman" w:hAnsi="Times New Roman" w:cs="Times New Roman"/>
          <w:sz w:val="24"/>
          <w:szCs w:val="24"/>
          <w:lang w:val="uk-UA"/>
        </w:rPr>
      </w:pPr>
    </w:p>
    <w:p>
      <w:pPr>
        <w:ind w:firstLine="700" w:firstLineChars="0"/>
        <w:jc w:val="both"/>
        <w:rPr>
          <w:rFonts w:hint="default" w:ascii="Times New Roman" w:hAnsi="Times New Roman" w:cs="Times New Roman"/>
          <w:sz w:val="24"/>
          <w:szCs w:val="24"/>
          <w:lang w:val="uk-UA"/>
        </w:rPr>
      </w:pPr>
    </w:p>
    <w:p>
      <w:pPr>
        <w:ind w:firstLine="700" w:firstLineChars="0"/>
        <w:jc w:val="both"/>
        <w:rPr>
          <w:rFonts w:hint="default" w:ascii="Times New Roman" w:hAnsi="Times New Roman" w:cs="Times New Roman"/>
          <w:sz w:val="24"/>
          <w:szCs w:val="24"/>
          <w:lang w:val="uk-UA"/>
        </w:rPr>
      </w:pP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Склад, обсяги робіт та ресурсів наведені у відомості обсягів робіт на 3 аркушах, що додається окремим файлом.</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Ціна пропозиції Учасника означає суму, за яку Учасник передбачає виконати всі види обсягів робіт, передбачені у цьому додатку до Оголошення.</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 ціни пропозиції не включаються витрати, пов</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язані з укладанням договору та/або участі у закупівлі.</w:t>
      </w:r>
    </w:p>
    <w:p>
      <w:pPr>
        <w:ind w:firstLine="70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pPr>
        <w:ind w:firstLine="70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ind w:firstLine="70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 складі тендерної пропозиції подаються: ліцензії, документи дозвільного характеру на виконання робіт, передбачених тендерною документацією, які мають відповідати вимогам норм чинного законодавства; діючі договора оренди, найму, лізингу спецтехніки.  </w:t>
      </w:r>
    </w:p>
    <w:p>
      <w:pPr>
        <w:ind w:firstLine="700" w:firstLineChars="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У трудових відносинах з учасником повинні перебувати працівники відповідної кваліфікації, які мають необхідні знання та досвід для виконання договору про закупівлю. Зазначені працівники повинні перебувати у трудових відносинах з учасником у будь-якій формі згідно із законодавством про працю, в тому числі на умовах сумісництва, суміщення, тимчасового виконання обов’язків тощо. </w:t>
      </w:r>
    </w:p>
    <w:p>
      <w:pPr>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ab/>
      </w:r>
      <w:r>
        <w:rPr>
          <w:rFonts w:hint="default" w:ascii="Times New Roman" w:hAnsi="Times New Roman" w:cs="Times New Roman"/>
          <w:sz w:val="24"/>
          <w:szCs w:val="24"/>
          <w:lang w:eastAsia="zh-CN"/>
        </w:rPr>
        <w:t>У трудових відносинах з учасником повинні обов’язково бути працівники наступних професій:</w:t>
      </w:r>
    </w:p>
    <w:p>
      <w:pPr>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-виконавець робіт (виконроб);</w:t>
      </w:r>
    </w:p>
    <w:p>
      <w:pPr>
        <w:jc w:val="both"/>
        <w:rPr>
          <w:rFonts w:hint="default" w:ascii="Times New Roman" w:hAnsi="Times New Roman" w:cs="Times New Roman"/>
          <w:sz w:val="24"/>
          <w:szCs w:val="24"/>
          <w:lang w:val="uk-UA" w:eastAsia="zh-CN"/>
        </w:rPr>
      </w:pPr>
      <w:r>
        <w:rPr>
          <w:rFonts w:hint="default" w:ascii="Times New Roman" w:hAnsi="Times New Roman" w:cs="Times New Roman"/>
          <w:sz w:val="24"/>
          <w:szCs w:val="24"/>
          <w:lang w:eastAsia="zh-CN"/>
        </w:rPr>
        <w:t>-працівники робітничих професій</w:t>
      </w:r>
      <w:r>
        <w:rPr>
          <w:rFonts w:hint="default" w:ascii="Times New Roman" w:hAnsi="Times New Roman" w:cs="Times New Roman"/>
          <w:sz w:val="24"/>
          <w:szCs w:val="24"/>
          <w:lang w:val="uk-UA" w:eastAsia="zh-CN"/>
        </w:rPr>
        <w:t>;</w:t>
      </w:r>
    </w:p>
    <w:p>
      <w:pPr>
        <w:jc w:val="both"/>
        <w:rPr>
          <w:rFonts w:hint="default" w:ascii="Times New Roman" w:hAnsi="Times New Roman" w:cs="Times New Roman"/>
          <w:sz w:val="24"/>
          <w:szCs w:val="24"/>
          <w:lang w:val="uk-UA" w:eastAsia="zh-CN"/>
        </w:rPr>
      </w:pPr>
      <w:r>
        <w:rPr>
          <w:rFonts w:hint="default" w:ascii="Times New Roman" w:hAnsi="Times New Roman" w:cs="Times New Roman"/>
          <w:sz w:val="24"/>
          <w:szCs w:val="24"/>
          <w:lang w:val="uk-UA" w:eastAsia="zh-CN"/>
        </w:rPr>
        <w:t>-водій/оператор автотранспортних засобів та спецтехніки.</w:t>
      </w:r>
    </w:p>
    <w:p>
      <w:pPr>
        <w:ind w:firstLine="700" w:firstLineChars="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Відповідні працівники, повинні бути офіційно працевлаштовані в учасника до дати подання ним пропозиції для участі у цій закупівлі, згідно із законодавством України про працю на підставі трудового договору (контракту) за основним місцем роботи або за сумісництвом, з врахуванням того, що кількість працівників повинна забезпечити якісне та вчасне виконання договору про закупівлю.</w:t>
      </w:r>
    </w:p>
    <w:p>
      <w:pPr>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ab/>
      </w:r>
      <w:r>
        <w:rPr>
          <w:rFonts w:hint="default" w:ascii="Times New Roman" w:hAnsi="Times New Roman" w:cs="Times New Roman"/>
          <w:sz w:val="24"/>
          <w:szCs w:val="24"/>
          <w:lang w:eastAsia="zh-CN"/>
        </w:rPr>
        <w:t>Для документального підтвердження наявності працівників відповідної кваліфікації, які мають необхідні знання та досвід у складі пропозиції учасника повинні бути подані наступні документи:</w:t>
      </w:r>
    </w:p>
    <w:p>
      <w:pPr>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a) інформаційна довідка про працівників учасника відповідної кваліфікації, які мають необхідні знання та досвід, зокрема працівників передбачених цим пунктом із зазначенням інформації про: посаду, прізвище, ім’я, досвід роботи на цій посаді (років), форми працевлаштування (основне місце роботи /сумісництво/ суміщення професій, посад</w:t>
      </w:r>
      <w:r>
        <w:rPr>
          <w:rFonts w:hint="default" w:ascii="Times New Roman" w:hAnsi="Times New Roman" w:cs="Times New Roman"/>
          <w:sz w:val="24"/>
          <w:szCs w:val="24"/>
          <w:lang w:val="uk-UA" w:eastAsia="zh-CN"/>
        </w:rPr>
        <w:t xml:space="preserve">, </w:t>
      </w:r>
      <w:r>
        <w:rPr>
          <w:rFonts w:hint="default" w:ascii="Times New Roman" w:hAnsi="Times New Roman" w:cs="Times New Roman"/>
          <w:sz w:val="24"/>
          <w:szCs w:val="24"/>
          <w:lang w:eastAsia="zh-CN"/>
        </w:rPr>
        <w:t>виконання обов’язків, тощо;</w:t>
      </w:r>
    </w:p>
    <w:p>
      <w:pPr>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б) копії наказів про призначення на посаду (прийняття на роботу) працівників зазначених у інформаційній довідці або письмові трудові договори (контракти) з такими працівниками.</w:t>
      </w:r>
    </w:p>
    <w:p>
      <w:pPr>
        <w:ind w:firstLine="700" w:firstLineChars="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Учасник повинен мати документально підтверджений досвід виконання не менше одного аналогічного договору  за предметом закупівлі договору, який відповідає наступним вимогам:</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Під аналогічним договором відповідно до умов цієї тендерної документації є договір, який підтверджує наявність в Учасника досвіду виконання робіт з нового будівництва,  реконструкції зовнішніх мереж водовідведення зі встановленням каналізаційних колодязів із ціною одного виконаного аналогічного договору не менше 50% від очікуваної вартості оголошеної закупівлі з </w:t>
      </w:r>
      <w:r>
        <w:rPr>
          <w:rFonts w:hint="default" w:ascii="Times New Roman" w:hAnsi="Times New Roman" w:cs="Times New Roman"/>
          <w:sz w:val="24"/>
          <w:szCs w:val="24"/>
          <w:lang w:val="uk-UA"/>
        </w:rPr>
        <w:t>“Реконструкція відведення дощових вод дренажного лотка у каналізаційний колектор на вул. Академіка А. Сахарова”.</w:t>
      </w:r>
    </w:p>
    <w:p>
      <w:pPr>
        <w:ind w:firstLine="700" w:firstLineChars="0"/>
        <w:jc w:val="both"/>
        <w:rPr>
          <w:rFonts w:hint="default" w:ascii="Times New Roman" w:hAnsi="Times New Roman" w:cs="Times New Roman"/>
          <w:sz w:val="24"/>
          <w:szCs w:val="24"/>
          <w:lang w:val="uk-UA" w:eastAsia="zh-CN"/>
        </w:rPr>
      </w:pPr>
      <w:r>
        <w:rPr>
          <w:rFonts w:hint="default" w:ascii="Times New Roman" w:hAnsi="Times New Roman" w:cs="Times New Roman"/>
          <w:sz w:val="24"/>
          <w:szCs w:val="24"/>
          <w:lang w:val="uk-UA" w:eastAsia="zh-CN"/>
        </w:rPr>
        <w:t>Аналогічний договір повинен бути виконаний учасником належним чином – без порушень чинного законодавства та умов відповідного договору.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А</w:t>
      </w:r>
      <w:r>
        <w:rPr>
          <w:rFonts w:hint="default" w:ascii="Times New Roman" w:hAnsi="Times New Roman" w:cs="Times New Roman"/>
          <w:sz w:val="24"/>
          <w:szCs w:val="24"/>
        </w:rPr>
        <w:t xml:space="preserve">налогічний договір повинен бути виконаний  учасником </w:t>
      </w:r>
      <w:r>
        <w:rPr>
          <w:rFonts w:hint="default" w:ascii="Times New Roman" w:hAnsi="Times New Roman" w:cs="Times New Roman"/>
          <w:sz w:val="24"/>
          <w:szCs w:val="24"/>
          <w:lang w:val="uk-UA" w:eastAsia="zh-CN"/>
        </w:rPr>
        <w:t>до дати подання пропозиції.</w:t>
      </w:r>
    </w:p>
    <w:p>
      <w:pPr>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ab/>
      </w:r>
      <w:r>
        <w:rPr>
          <w:rFonts w:hint="default" w:ascii="Times New Roman" w:hAnsi="Times New Roman" w:cs="Times New Roman"/>
          <w:sz w:val="24"/>
          <w:szCs w:val="24"/>
          <w:lang w:eastAsia="zh-CN"/>
        </w:rPr>
        <w:t>У складі пропозиції учасника</w:t>
      </w:r>
      <w:r>
        <w:rPr>
          <w:rFonts w:hint="default" w:ascii="Times New Roman" w:hAnsi="Times New Roman" w:cs="Times New Roman"/>
          <w:sz w:val="24"/>
          <w:szCs w:val="24"/>
          <w:lang w:val="uk-UA" w:eastAsia="zh-CN"/>
        </w:rPr>
        <w:t>, на підтвердження виконання аналогічного договору</w:t>
      </w:r>
      <w:r>
        <w:rPr>
          <w:rFonts w:hint="default" w:ascii="Times New Roman" w:hAnsi="Times New Roman" w:cs="Times New Roman"/>
          <w:sz w:val="24"/>
          <w:szCs w:val="24"/>
          <w:lang w:eastAsia="zh-CN"/>
        </w:rPr>
        <w:t xml:space="preserve"> повин</w:t>
      </w:r>
      <w:r>
        <w:rPr>
          <w:rFonts w:hint="default" w:ascii="Times New Roman" w:hAnsi="Times New Roman" w:cs="Times New Roman"/>
          <w:sz w:val="24"/>
          <w:szCs w:val="24"/>
          <w:lang w:val="uk-UA" w:eastAsia="zh-CN"/>
        </w:rPr>
        <w:t>ен надати</w:t>
      </w:r>
      <w:r>
        <w:rPr>
          <w:rFonts w:hint="default" w:ascii="Times New Roman" w:hAnsi="Times New Roman" w:cs="Times New Roman"/>
          <w:sz w:val="24"/>
          <w:szCs w:val="24"/>
          <w:lang w:eastAsia="zh-CN"/>
        </w:rPr>
        <w:t xml:space="preserve"> наступні документи:</w:t>
      </w:r>
    </w:p>
    <w:p>
      <w:pPr>
        <w:jc w:val="both"/>
        <w:rPr>
          <w:rFonts w:hint="default" w:ascii="Times New Roman" w:hAnsi="Times New Roman" w:cs="Times New Roman"/>
          <w:sz w:val="24"/>
          <w:szCs w:val="24"/>
          <w:lang w:eastAsia="ru-RU"/>
        </w:rPr>
      </w:pPr>
      <w:r>
        <w:rPr>
          <w:rFonts w:hint="default" w:ascii="Times New Roman" w:hAnsi="Times New Roman" w:cs="Times New Roman"/>
          <w:sz w:val="24"/>
          <w:szCs w:val="24"/>
          <w:lang w:eastAsia="zh-CN"/>
        </w:rPr>
        <w:tab/>
      </w:r>
      <w:r>
        <w:rPr>
          <w:rFonts w:hint="default" w:ascii="Times New Roman" w:hAnsi="Times New Roman" w:cs="Times New Roman"/>
          <w:sz w:val="24"/>
          <w:szCs w:val="24"/>
          <w:lang w:eastAsia="ru-RU"/>
        </w:rPr>
        <w:t>інформаційна довідка про виконання аналогічного договору (договорів) в довільній формі з обов’язковим зазначенням інформації про номер аналогічного договору(договорів) і дату його укладення, найменування та місцезнаходження контрагента (замовника) за аналогічним договором, контактної особи замовника (прізвище та контактний телефон), стану виконання договору (виконаний/невиконаний/частково виконаний договір) .</w:t>
      </w:r>
    </w:p>
    <w:p>
      <w:pPr>
        <w:ind w:firstLine="700" w:firstLineChars="0"/>
        <w:jc w:val="both"/>
        <w:rPr>
          <w:rFonts w:hint="default" w:ascii="Times New Roman" w:hAnsi="Times New Roman" w:cs="Times New Roman"/>
          <w:sz w:val="24"/>
          <w:szCs w:val="24"/>
          <w:lang w:val="uk-UA" w:eastAsia="ru-RU"/>
        </w:rPr>
      </w:pPr>
      <w:r>
        <w:rPr>
          <w:rFonts w:hint="default" w:ascii="Times New Roman" w:hAnsi="Times New Roman" w:cs="Times New Roman"/>
          <w:sz w:val="24"/>
          <w:szCs w:val="24"/>
          <w:lang w:val="uk-UA" w:eastAsia="ru-RU"/>
        </w:rPr>
        <w:t>копія аналогічного договору (договорів), що зазначений учасником в інформаційній довідці без додатків та додаткових угод до нього.</w:t>
      </w:r>
    </w:p>
    <w:p>
      <w:pPr>
        <w:jc w:val="both"/>
        <w:rPr>
          <w:rFonts w:hint="default" w:ascii="Times New Roman" w:hAnsi="Times New Roman" w:cs="Times New Roman"/>
          <w:sz w:val="24"/>
          <w:szCs w:val="24"/>
          <w:lang w:eastAsia="ru-RU"/>
        </w:rPr>
      </w:pPr>
      <w:r>
        <w:rPr>
          <w:rFonts w:hint="default" w:ascii="Times New Roman" w:hAnsi="Times New Roman" w:cs="Times New Roman"/>
          <w:sz w:val="24"/>
          <w:szCs w:val="24"/>
          <w:lang w:eastAsia="zh-CN"/>
        </w:rPr>
        <w:t xml:space="preserve">           гарантійний лист складений учасником, який повинен містити інформацію про відсутність претензій (позовів) пов’язаних з виконанням зазначеного учасником в інформаційній довідці аналогічного договору (договорів).</w:t>
      </w:r>
    </w:p>
    <w:p>
      <w:pPr>
        <w:jc w:val="both"/>
        <w:rPr>
          <w:rFonts w:hint="default" w:ascii="Times New Roman" w:hAnsi="Times New Roman" w:cs="Times New Roman"/>
          <w:sz w:val="24"/>
          <w:szCs w:val="24"/>
          <w:lang w:val="uk-UA"/>
        </w:rPr>
      </w:pP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Для підтвердження відповідності пропозиції учасника необхідним технічним, якісним та кількісним характеристикам предмета закупівлі у складі пропозиції учасник повинен надати:</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підписані учасником згідно з умовами Оголошення відомість обсягів робіт. Підписавши відомість обсягів робіт, учасник підтверджує свою згоду виконати весь обсяг зазначених у них робіт з застосуванням матеріалів відповідної (негіршої) якості, за суму, яка становитиме ціну його пропозиції за результатами закупівлі;</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гарантійний лист про фактичну спроможність учасника виконати власними та/або залученими силами з відповідною якістю повний обсяг/комплекс робіт що визначений замовником в Технічній специфікації;</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гарантійний лист про те, що вартість (ціна) пропозиції учасника включає в себе повний обсяг/комплекс робіт, чітко відповідає видам робіт, одиницям виміру та кількості/об’єму, що визначені замовником в Технічній специфікації та визначені умовами Оголошення;</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гарантійний лист про те, що вартість(ціна) пропозиції учасника сформована та відповідає умовам Оголошення замовника за предметом закупівлі та вимогам Кошторисних норм України у будівництві.</w:t>
      </w:r>
    </w:p>
    <w:p>
      <w:pPr>
        <w:jc w:val="both"/>
        <w:rPr>
          <w:rFonts w:hint="default" w:ascii="Times New Roman" w:hAnsi="Times New Roman" w:cs="Times New Roman"/>
          <w:sz w:val="24"/>
          <w:szCs w:val="24"/>
          <w:lang w:val="uk-UA"/>
        </w:rPr>
      </w:pPr>
    </w:p>
    <w:p>
      <w:pPr>
        <w:jc w:val="both"/>
        <w:rPr>
          <w:rFonts w:hint="default" w:ascii="Times New Roman" w:hAnsi="Times New Roman" w:cs="Times New Roman"/>
          <w:sz w:val="24"/>
          <w:szCs w:val="24"/>
          <w:lang w:val="uk-UA"/>
        </w:rPr>
      </w:pP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 </w:t>
      </w:r>
    </w:p>
    <w:p>
      <w:pPr>
        <w:jc w:val="both"/>
        <w:rPr>
          <w:rFonts w:hint="default" w:ascii="Times New Roman" w:hAnsi="Times New Roman" w:cs="Times New Roman"/>
          <w:sz w:val="24"/>
          <w:szCs w:val="24"/>
          <w:lang w:val="uk-UA"/>
        </w:rPr>
      </w:pP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Для підтвердження відповідності тендерної пропозиції технічним, якісним, кількісним та іншим вимогам замовника, переможець до підписання договору повинен  надати  на адресу Замовника (79013, м. Львів, вул. Ак. Сахарова, 2, тел.: (032) 238-68-50):</w:t>
      </w:r>
    </w:p>
    <w:p>
      <w:pPr>
        <w:ind w:firstLine="700" w:firstLineChars="0"/>
        <w:jc w:val="both"/>
        <w:rPr>
          <w:rFonts w:hint="default" w:ascii="Times New Roman" w:hAnsi="Times New Roman" w:cs="Times New Roman"/>
          <w:sz w:val="24"/>
          <w:szCs w:val="24"/>
          <w:lang w:val="uk-UA"/>
        </w:rPr>
      </w:pPr>
      <w:bookmarkStart w:id="0" w:name="_Hlk41264775"/>
      <w:r>
        <w:rPr>
          <w:rFonts w:hint="default" w:ascii="Times New Roman" w:hAnsi="Times New Roman" w:cs="Times New Roman"/>
          <w:sz w:val="24"/>
          <w:szCs w:val="24"/>
          <w:lang w:val="uk-UA"/>
        </w:rPr>
        <w:t>- договірну ціну (визначається як тверда) розраховану відповідно до ціни пропозиції переможця за результатами закупівлі ;</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 об’єктний кошторис (у разі потреби); </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локальний кошторис (кошториси) складений відповідно до обсягів робіт визначених у цьому додатку до Оголошення;</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підсумкова відомість (відомості) ресурсів;</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підтверджуючі розрахунки за статтями витрат договірної ціни у відповідності з вимогами Кошторисних норм України «Настанова з визначення вартості будівництва»;</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розрахунок вартості експлуатації машин та механізмів з підтверджуючими документами;</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 розрахунок заробітної плати (розрахунок кошторисної заробітної плати, який використовувався при складанні інвесторської кошторисної документації на об’єкті будівництва становить 14 800 грн.,  що відповідає середньому розряду складності робіт у будівництві 3,8 при виконанні робіт в звичайних умовах); </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розрахунок загально-виробничих витрат</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економічні обґрунтування змінених умов виконання робіт (у разі застосування будівельної техніки, машин, механізмів, що не передбачені КНУ РЕКН);</w:t>
      </w:r>
    </w:p>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 - пояснювальна записка;</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графік виконання робіт;</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електронну версію договірної ціни та розрахунків переможця у вигляді електронного файлу форматів .</w:t>
      </w:r>
      <w:r>
        <w:rPr>
          <w:rFonts w:hint="default" w:ascii="Times New Roman" w:hAnsi="Times New Roman" w:cs="Times New Roman"/>
          <w:sz w:val="24"/>
          <w:szCs w:val="24"/>
          <w:lang w:val="en-US"/>
        </w:rPr>
        <w:t>imd</w:t>
      </w:r>
      <w:r>
        <w:rPr>
          <w:rFonts w:hint="default" w:ascii="Times New Roman" w:hAnsi="Times New Roman" w:cs="Times New Roman"/>
          <w:sz w:val="24"/>
          <w:szCs w:val="24"/>
          <w:lang w:val="uk-UA"/>
        </w:rPr>
        <w:t>, тощо, експортованого з програмного комплексу через обмінний блок даних, у будь-якому програмному комплексі, рекомендованому Міністерством розвитку громад та територій України (Мінрегіонбудом України) для визначення вартості будівельних робіт.</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Процес погодження сторонами договірної ціни не змінює та не може змінювати жодних умов пропозиції переможця процедури закупівлі або Оголошення, а здійснюється лише з метою забезпечення повної відповідності договірної ціни вимогам чинного законодавства України, у тому числі Кошторисним нормам України «Настанова з визначення вартості будівництва».</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Погодження договірної ціни здійснює Замовником протягом 3 робочих днів з дня отримання договірної ціни від переможця. Замовник має погодити надану договірну ціну або надати переможцю перелік недоліків та/або перелік документів необхідних для погодження договірної ціни, встановивши термін для усунення недоліків та/або надання документів, який не може бути меншим ніж 1 робочий день, з дня отримання переможцем переліку недоліків та/або документів відправлених на електронну пошту, вказану Учасником у наданій у складі пропозиції формі «Відомості про учасника». </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В процесі погодження договірної ціни Замовник вправі звернутися до переможця закупівлі, а переможець у відповідь на таке звернення протягом наступного робочого дня за днем отримання звернення зобов’язаний надати документальне підтвердження вартості матеріально-технічних ресурсів, устаткування чи інших витрат, що включені в договірну ціну (прихідні накладні/калькуляції/прайс-листи постачальників, комерційні пропозиції/договори оренди, тощо). У випадку не підтвердження Замовник  вправі відмовити у погодженні договірної ціни переможцю.</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eastAsia="ru-RU"/>
        </w:rPr>
        <w:t xml:space="preserve">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 </w:t>
      </w:r>
      <w:r>
        <w:rPr>
          <w:rFonts w:hint="default" w:ascii="Times New Roman" w:hAnsi="Times New Roman" w:cs="Times New Roman"/>
          <w:sz w:val="24"/>
          <w:szCs w:val="24"/>
          <w:lang w:val="uk-UA"/>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eastAsia="ru-RU"/>
        </w:rPr>
        <w:t>Копію всіх дозволів з додатками на право займатися відповідною діяльністю, якщо отримання такого дозволу на провадження такого виду діяльності передбачено законодавством що підтверджує можливість виконання робіт у повному обсязі (у</w:t>
      </w:r>
      <w:r>
        <w:rPr>
          <w:rFonts w:hint="default" w:ascii="Times New Roman" w:hAnsi="Times New Roman" w:cs="Times New Roman"/>
          <w:sz w:val="24"/>
          <w:szCs w:val="24"/>
          <w:lang w:val="uk-UA"/>
        </w:rPr>
        <w:t xml:space="preserve">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Гарантійний лист, в якому учасник гарантує замовнику виконати роботи якісно у кількості та терміни встановлені замовником, а також необхідно зазначити що будівельні матеріали та вироби, від яких залежить якість робіт/послуг, будуть відповідати вимогам проектної документації,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pPr>
        <w:jc w:val="both"/>
        <w:rPr>
          <w:rFonts w:hint="default" w:ascii="Times New Roman" w:hAnsi="Times New Roman" w:cs="Times New Roman"/>
          <w:sz w:val="24"/>
          <w:szCs w:val="24"/>
          <w:lang w:val="uk-UA"/>
        </w:rPr>
      </w:pPr>
    </w:p>
    <w:p>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Строк виконання робіт</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Строк виконання робіт – протягом 60 днів з дня підписання договору.</w:t>
      </w:r>
    </w:p>
    <w:bookmarkEnd w:id="0"/>
    <w:p>
      <w:pPr>
        <w:jc w:val="both"/>
        <w:rPr>
          <w:rFonts w:hint="default" w:ascii="Times New Roman" w:hAnsi="Times New Roman" w:cs="Times New Roman"/>
          <w:sz w:val="24"/>
          <w:szCs w:val="24"/>
          <w:lang w:val="uk-UA"/>
        </w:rPr>
      </w:pPr>
    </w:p>
    <w:p>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Вихідні дані для розрахунку договірної ціни.</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Розрахунок договірної ціни здійснюється у відповідності з вимогами Кошторисних норм України у будівництві «Настанова з визначення вартості будівництва» та іншими чинними нормативними документами в галузі ціноутворення в будівництві.</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З метою спрощення механізму ціноутворення, встановлення прозорості складових вартості будівельних робіт та забезпечення єдиного підходу при визначенні вартості та проведення розрахунків з учасником, з яким буде укладено договір про закупівлю, рівень середньомісячної заробітної плати робітників-будівельників і монтажників, а також робітників зайнятих на керуванні та обслуговуванні будівельних машин та механізмів рекомендовано встановити керуючись наказом Міністерства регіонального розвитку, будівництва та житлово-комунального господарства України №281 від 20.10.2016р. Про затвердження Порядку розрахунку розміру кошторисної заробітної плати, який враховується при визначенні вартості будівництва об'єктів(у чинній редакції), рішенням ЛМР №7 від 04 січня 2019 р. та рівнем заробітної плати визначеним інвесторською кошторисною документацією в розмірі 14800,00 грн., що відповідає середньому розряду складності робіт у будівництві 3,8 при виконанні робіт в звичайних умовах.</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Заготівельно-складські витрати визначаються за усередненими відсотковими показниками.</w:t>
      </w:r>
    </w:p>
    <w:p>
      <w:pPr>
        <w:ind w:firstLine="700" w:firstLineChars="0"/>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При розрахунку договірної ціни, поточні ціни на матеріали приймаються переможцем за найменшою ціною, визначеною на підставі проведеного учасником аналізу ринку матеріалів в регіоні. На вимогу Замовника переможець під час погодження договірної ціни зобов’язаний підтвердити поточні ціни на визначені Замовником матеріали шляхом надання підтверджувальних документів.</w:t>
      </w:r>
    </w:p>
    <w:sectPr>
      <w:headerReference r:id="rId6" w:type="first"/>
      <w:footerReference r:id="rId9" w:type="first"/>
      <w:headerReference r:id="rId4" w:type="default"/>
      <w:footerReference r:id="rId7" w:type="default"/>
      <w:headerReference r:id="rId5" w:type="even"/>
      <w:footerReference r:id="rId8" w:type="even"/>
      <w:pgSz w:w="11906" w:h="16838"/>
      <w:pgMar w:top="567" w:right="567" w:bottom="567" w:left="850" w:header="708" w:footer="709" w:gutter="0"/>
      <w:paperSrc w:first="0" w:oth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auto"/>
    <w:pitch w:val="default"/>
    <w:sig w:usb0="E10002FF" w:usb1="4000ACFF" w:usb2="00000009" w:usb3="00000000" w:csb0="2000019F" w:csb1="00000000"/>
  </w:font>
  <w:font w:name="Segoe UI">
    <w:panose1 w:val="020B0502040204020203"/>
    <w:charset w:val="CC"/>
    <w:family w:val="auto"/>
    <w:pitch w:val="default"/>
    <w:sig w:usb0="E10022FF" w:usb1="C000E47F" w:usb2="00000029" w:usb3="00000000" w:csb0="200001DF" w:csb1="20000000"/>
  </w:font>
  <w:font w:name="Times New Roman CYR">
    <w:altName w:val="Times New Roman"/>
    <w:panose1 w:val="02020603050405020304"/>
    <w:charset w:val="CC"/>
    <w:family w:val="auto"/>
    <w:pitch w:val="default"/>
    <w:sig w:usb0="E0002EFF" w:usb1="C000785B" w:usb2="00000009" w:usb3="00000000" w:csb0="000001FF" w:csb1="0000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64"/>
        <w:tab w:val="right" w:pos="8313"/>
      </w:tabs>
      <w:autoSpaceDE w:val="0"/>
      <w:autoSpaceDN w:val="0"/>
      <w:spacing w:after="0"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647F8"/>
    <w:rsid w:val="000A2CE3"/>
    <w:rsid w:val="00100225"/>
    <w:rsid w:val="0010439A"/>
    <w:rsid w:val="001073E9"/>
    <w:rsid w:val="001536C0"/>
    <w:rsid w:val="001A016C"/>
    <w:rsid w:val="001B2BB2"/>
    <w:rsid w:val="001F4A3D"/>
    <w:rsid w:val="001F65EC"/>
    <w:rsid w:val="002366E1"/>
    <w:rsid w:val="00250B16"/>
    <w:rsid w:val="0028082B"/>
    <w:rsid w:val="002A4246"/>
    <w:rsid w:val="002D4027"/>
    <w:rsid w:val="002E6F71"/>
    <w:rsid w:val="00300777"/>
    <w:rsid w:val="00360719"/>
    <w:rsid w:val="00362E03"/>
    <w:rsid w:val="00383329"/>
    <w:rsid w:val="003B4541"/>
    <w:rsid w:val="00431BB9"/>
    <w:rsid w:val="00480A62"/>
    <w:rsid w:val="00482DCF"/>
    <w:rsid w:val="004957CA"/>
    <w:rsid w:val="004A628A"/>
    <w:rsid w:val="004C65B7"/>
    <w:rsid w:val="00555961"/>
    <w:rsid w:val="005564B3"/>
    <w:rsid w:val="005629FB"/>
    <w:rsid w:val="005B2BD8"/>
    <w:rsid w:val="005B5B68"/>
    <w:rsid w:val="005C3BAD"/>
    <w:rsid w:val="00615031"/>
    <w:rsid w:val="006168D7"/>
    <w:rsid w:val="006461B0"/>
    <w:rsid w:val="00671CD2"/>
    <w:rsid w:val="00677D34"/>
    <w:rsid w:val="00682C81"/>
    <w:rsid w:val="00686B27"/>
    <w:rsid w:val="006C58F5"/>
    <w:rsid w:val="006F3EF1"/>
    <w:rsid w:val="00732941"/>
    <w:rsid w:val="007369D3"/>
    <w:rsid w:val="007428F9"/>
    <w:rsid w:val="00763160"/>
    <w:rsid w:val="00763C0E"/>
    <w:rsid w:val="00795E2A"/>
    <w:rsid w:val="007A3C26"/>
    <w:rsid w:val="007D3ED9"/>
    <w:rsid w:val="008266E3"/>
    <w:rsid w:val="00826929"/>
    <w:rsid w:val="0086093A"/>
    <w:rsid w:val="00864C84"/>
    <w:rsid w:val="00885AB3"/>
    <w:rsid w:val="00890D82"/>
    <w:rsid w:val="008D2768"/>
    <w:rsid w:val="008D45EC"/>
    <w:rsid w:val="008F7EC8"/>
    <w:rsid w:val="009110D4"/>
    <w:rsid w:val="0098050D"/>
    <w:rsid w:val="009A52FB"/>
    <w:rsid w:val="009B134E"/>
    <w:rsid w:val="009E7BF3"/>
    <w:rsid w:val="009F2C3B"/>
    <w:rsid w:val="00A03CE3"/>
    <w:rsid w:val="00A3788B"/>
    <w:rsid w:val="00A4626F"/>
    <w:rsid w:val="00A6125D"/>
    <w:rsid w:val="00A647F8"/>
    <w:rsid w:val="00A65EB8"/>
    <w:rsid w:val="00AB2861"/>
    <w:rsid w:val="00AB5366"/>
    <w:rsid w:val="00AF47CA"/>
    <w:rsid w:val="00B204EC"/>
    <w:rsid w:val="00B3116D"/>
    <w:rsid w:val="00B3328A"/>
    <w:rsid w:val="00B72207"/>
    <w:rsid w:val="00BB3A2C"/>
    <w:rsid w:val="00C83234"/>
    <w:rsid w:val="00D05DDF"/>
    <w:rsid w:val="00D13A7A"/>
    <w:rsid w:val="00D52E96"/>
    <w:rsid w:val="00D74D67"/>
    <w:rsid w:val="00D96871"/>
    <w:rsid w:val="00E06CA3"/>
    <w:rsid w:val="00E2059B"/>
    <w:rsid w:val="00E265A4"/>
    <w:rsid w:val="00E722FD"/>
    <w:rsid w:val="00E7494A"/>
    <w:rsid w:val="00EA2FC3"/>
    <w:rsid w:val="00EC0688"/>
    <w:rsid w:val="00EE00B6"/>
    <w:rsid w:val="00F05BD8"/>
    <w:rsid w:val="00F42830"/>
    <w:rsid w:val="00F73206"/>
    <w:rsid w:val="00FB6966"/>
    <w:rsid w:val="00FF3A98"/>
    <w:rsid w:val="00FF4C98"/>
    <w:rsid w:val="03656169"/>
    <w:rsid w:val="046D3712"/>
    <w:rsid w:val="10FA5127"/>
    <w:rsid w:val="16C0213A"/>
    <w:rsid w:val="1C490869"/>
    <w:rsid w:val="24C55FDC"/>
    <w:rsid w:val="2DE83D5D"/>
    <w:rsid w:val="326E306B"/>
    <w:rsid w:val="3EF37B8E"/>
    <w:rsid w:val="40B070F2"/>
    <w:rsid w:val="6AE01B80"/>
    <w:rsid w:val="6FE55EFB"/>
    <w:rsid w:val="7AB21DDD"/>
    <w:rsid w:val="7D3522CB"/>
    <w:rsid w:val="7FFE6E2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sz w:val="22"/>
      <w:szCs w:val="22"/>
      <w:lang w:val="ru-RU" w:eastAsia="en-US" w:bidi="ar-SA"/>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Balloon Text"/>
    <w:basedOn w:val="1"/>
    <w:link w:val="142"/>
    <w:unhideWhenUsed/>
    <w:uiPriority w:val="99"/>
    <w:pPr>
      <w:spacing w:after="0" w:line="240" w:lineRule="auto"/>
    </w:pPr>
    <w:rPr>
      <w:rFonts w:ascii="Segoe UI" w:hAnsi="Segoe UI" w:cs="Segoe UI"/>
      <w:sz w:val="18"/>
      <w:szCs w:val="18"/>
    </w:rPr>
  </w:style>
  <w:style w:type="paragraph" w:styleId="3">
    <w:name w:val="footer"/>
    <w:basedOn w:val="1"/>
    <w:link w:val="141"/>
    <w:unhideWhenUsed/>
    <w:uiPriority w:val="99"/>
    <w:pPr>
      <w:tabs>
        <w:tab w:val="center" w:pos="4819"/>
        <w:tab w:val="right" w:pos="9639"/>
      </w:tabs>
      <w:spacing w:after="0" w:line="240" w:lineRule="auto"/>
    </w:pPr>
    <w:rPr>
      <w:rFonts w:ascii="Calibri" w:hAnsi="Calibri" w:eastAsia="Calibri" w:cs="Times New Roman"/>
      <w:lang w:val="uk-UA"/>
    </w:rPr>
  </w:style>
  <w:style w:type="paragraph" w:styleId="4">
    <w:name w:val="header"/>
    <w:basedOn w:val="1"/>
    <w:link w:val="140"/>
    <w:unhideWhenUsed/>
    <w:uiPriority w:val="99"/>
    <w:pPr>
      <w:tabs>
        <w:tab w:val="center" w:pos="4819"/>
        <w:tab w:val="right" w:pos="9639"/>
      </w:tabs>
      <w:spacing w:after="0" w:line="240" w:lineRule="auto"/>
    </w:pPr>
    <w:rPr>
      <w:rFonts w:ascii="Calibri" w:hAnsi="Calibri" w:eastAsia="Calibri" w:cs="Times New Roman"/>
      <w:lang w:val="uk-UA"/>
    </w:rPr>
  </w:style>
  <w:style w:type="paragraph" w:styleId="5">
    <w:name w:val="HTML Preformatted"/>
    <w:basedOn w:val="1"/>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eastAsia="Times New Roman" w:cs="Courier New"/>
      <w:color w:val="000000"/>
      <w:sz w:val="18"/>
      <w:szCs w:val="18"/>
      <w:lang w:val="ru-RU"/>
    </w:rPr>
  </w:style>
  <w:style w:type="character" w:styleId="7">
    <w:name w:val="FollowedHyperlink"/>
    <w:basedOn w:val="6"/>
    <w:unhideWhenUsed/>
    <w:uiPriority w:val="99"/>
    <w:rPr>
      <w:color w:val="954F72"/>
      <w:u w:val="single"/>
    </w:rPr>
  </w:style>
  <w:style w:type="character" w:styleId="8">
    <w:name w:val="Hyperlink"/>
    <w:basedOn w:val="6"/>
    <w:unhideWhenUsed/>
    <w:uiPriority w:val="99"/>
    <w:rPr>
      <w:color w:val="0563C1"/>
      <w:u w:val="single"/>
    </w:rPr>
  </w:style>
  <w:style w:type="paragraph" w:customStyle="1" w:styleId="10">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11">
    <w:name w:val="Абзац списку1"/>
    <w:basedOn w:val="1"/>
    <w:next w:val="12"/>
    <w:qFormat/>
    <w:uiPriority w:val="34"/>
    <w:pPr>
      <w:spacing w:after="200" w:line="276" w:lineRule="auto"/>
      <w:ind w:left="720"/>
      <w:contextualSpacing/>
    </w:pPr>
  </w:style>
  <w:style w:type="paragraph" w:customStyle="1" w:styleId="12">
    <w:name w:val="List Paragraph"/>
    <w:basedOn w:val="1"/>
    <w:qFormat/>
    <w:uiPriority w:val="34"/>
    <w:pPr>
      <w:ind w:left="720"/>
      <w:contextualSpacing/>
    </w:pPr>
  </w:style>
  <w:style w:type="paragraph" w:customStyle="1" w:styleId="13">
    <w:name w:val="xl63"/>
    <w:basedOn w:val="1"/>
    <w:uiPriority w:val="0"/>
    <w:pPr>
      <w:pBdr>
        <w:top w:val="single" w:color="auto" w:sz="8" w:space="0"/>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4">
    <w:name w:val="xl64"/>
    <w:basedOn w:val="1"/>
    <w:uiPriority w:val="0"/>
    <w:pPr>
      <w:pBdr>
        <w:top w:val="single" w:color="auto" w:sz="8" w:space="0"/>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5">
    <w:name w:val="xl65"/>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6">
    <w:name w:val="xl66"/>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7">
    <w:name w:val="xl67"/>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8">
    <w:name w:val="xl68"/>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9">
    <w:name w:val="xl69"/>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20">
    <w:name w:val="xl70"/>
    <w:basedOn w:val="1"/>
    <w:uiPriority w:val="0"/>
    <w:pPr>
      <w:pBdr>
        <w:left w:val="single" w:color="auto" w:sz="8"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color w:val="000000"/>
      <w:sz w:val="24"/>
      <w:szCs w:val="24"/>
      <w:lang w:val="uk-UA" w:eastAsia="uk-UA"/>
    </w:rPr>
  </w:style>
  <w:style w:type="paragraph" w:customStyle="1" w:styleId="21">
    <w:name w:val="xl71"/>
    <w:basedOn w:val="1"/>
    <w:uiPriority w:val="0"/>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val="uk-UA" w:eastAsia="uk-UA"/>
    </w:rPr>
  </w:style>
  <w:style w:type="paragraph" w:customStyle="1" w:styleId="22">
    <w:name w:val="xl72"/>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23">
    <w:name w:val="xl73"/>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24">
    <w:name w:val="xl74"/>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25">
    <w:name w:val="xl75"/>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26">
    <w:name w:val="xl76"/>
    <w:basedOn w:val="1"/>
    <w:uiPriority w:val="0"/>
    <w:pPr>
      <w:pBdr>
        <w:top w:val="single" w:color="auto" w:sz="8"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27">
    <w:name w:val="xl77"/>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28">
    <w:name w:val="xl78"/>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29">
    <w:name w:val="xl79"/>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30">
    <w:name w:val="xl80"/>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31">
    <w:name w:val="xl81"/>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32">
    <w:name w:val="xl82"/>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33">
    <w:name w:val="xl83"/>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34">
    <w:name w:val="xl84"/>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35">
    <w:name w:val="xl85"/>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36">
    <w:name w:val="xl86"/>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37">
    <w:name w:val="xl87"/>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38">
    <w:name w:val="xl88"/>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39">
    <w:name w:val="xl89"/>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40">
    <w:name w:val="xl90"/>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lang w:val="uk-UA" w:eastAsia="uk-UA"/>
    </w:rPr>
  </w:style>
  <w:style w:type="paragraph" w:customStyle="1" w:styleId="41">
    <w:name w:val="xl91"/>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42">
    <w:name w:val="xl92"/>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43">
    <w:name w:val="xl93"/>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44">
    <w:name w:val="xl94"/>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45">
    <w:name w:val="xl95"/>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46">
    <w:name w:val="xl96"/>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47">
    <w:name w:val="xl97"/>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48">
    <w:name w:val="xl98"/>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49">
    <w:name w:val="xl99"/>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50">
    <w:name w:val="xl100"/>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51">
    <w:name w:val="xl101"/>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52">
    <w:name w:val="xl102"/>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53">
    <w:name w:val="xl103"/>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54">
    <w:name w:val="xl104"/>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55">
    <w:name w:val="xl105"/>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56">
    <w:name w:val="xl106"/>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57">
    <w:name w:val="xl107"/>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58">
    <w:name w:val="xl108"/>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59">
    <w:name w:val="xl109"/>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60">
    <w:name w:val="xl110"/>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61">
    <w:name w:val="xl111"/>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62">
    <w:name w:val="xl112"/>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63">
    <w:name w:val="xl113"/>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64">
    <w:name w:val="xl114"/>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65">
    <w:name w:val="xl115"/>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66">
    <w:name w:val="xl116"/>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67">
    <w:name w:val="xl117"/>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68">
    <w:name w:val="xl118"/>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69">
    <w:name w:val="xl119"/>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70">
    <w:name w:val="xl120"/>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71">
    <w:name w:val="xl121"/>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72">
    <w:name w:val="xl122"/>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73">
    <w:name w:val="xl123"/>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74">
    <w:name w:val="xl124"/>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75">
    <w:name w:val="xl125"/>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76">
    <w:name w:val="xl126"/>
    <w:basedOn w:val="1"/>
    <w:uiPriority w:val="0"/>
    <w:pPr>
      <w:pBdr>
        <w:top w:val="single" w:color="auto" w:sz="8"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77">
    <w:name w:val="xl127"/>
    <w:basedOn w:val="1"/>
    <w:uiPriority w:val="0"/>
    <w:pPr>
      <w:pBdr>
        <w:top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78">
    <w:name w:val="xl128"/>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79">
    <w:name w:val="xl129"/>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80">
    <w:name w:val="xl130"/>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81">
    <w:name w:val="xl131"/>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82">
    <w:name w:val="xl132"/>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83">
    <w:name w:val="xl133"/>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84">
    <w:name w:val="xl134"/>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85">
    <w:name w:val="xl135"/>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86">
    <w:name w:val="xl136"/>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87">
    <w:name w:val="xl137"/>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88">
    <w:name w:val="xl138"/>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89">
    <w:name w:val="xl139"/>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90">
    <w:name w:val="xl140"/>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91">
    <w:name w:val="xl141"/>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92">
    <w:name w:val="xl142"/>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93">
    <w:name w:val="xl143"/>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94">
    <w:name w:val="xl144"/>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95">
    <w:name w:val="xl145"/>
    <w:basedOn w:val="1"/>
    <w:uiPriority w:val="0"/>
    <w:pPr>
      <w:pBdr>
        <w:top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96">
    <w:name w:val="xl146"/>
    <w:basedOn w:val="1"/>
    <w:uiPriority w:val="0"/>
    <w:pPr>
      <w:pBdr>
        <w:top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97">
    <w:name w:val="xl147"/>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98">
    <w:name w:val="xl148"/>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99">
    <w:name w:val="xl149"/>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100">
    <w:name w:val="xl150"/>
    <w:basedOn w:val="1"/>
    <w:uiPriority w:val="0"/>
    <w:pPr>
      <w:pBdr>
        <w:left w:val="single" w:color="auto" w:sz="4"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01">
    <w:name w:val="xl151"/>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02">
    <w:name w:val="xl152"/>
    <w:basedOn w:val="1"/>
    <w:uiPriority w:val="0"/>
    <w:pPr>
      <w:pBdr>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03">
    <w:name w:val="xl153"/>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04">
    <w:name w:val="xl154"/>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05">
    <w:name w:val="xl155"/>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06">
    <w:name w:val="xl156"/>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07">
    <w:name w:val="xl157"/>
    <w:basedOn w:val="1"/>
    <w:uiPriority w:val="0"/>
    <w:pPr>
      <w:pBdr>
        <w:left w:val="single" w:color="auto" w:sz="4"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08">
    <w:name w:val="xl158"/>
    <w:basedOn w:val="1"/>
    <w:uiPriority w:val="0"/>
    <w:pPr>
      <w:pBdr>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09">
    <w:name w:val="xl159"/>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10">
    <w:name w:val="xl160"/>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11">
    <w:name w:val="xl161"/>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12">
    <w:name w:val="xl162"/>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13">
    <w:name w:val="xl163"/>
    <w:basedOn w:val="1"/>
    <w:uiPriority w:val="0"/>
    <w:pPr>
      <w:pBdr>
        <w:left w:val="single" w:color="auto" w:sz="4"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14">
    <w:name w:val="xl164"/>
    <w:basedOn w:val="1"/>
    <w:uiPriority w:val="0"/>
    <w:pPr>
      <w:pBdr>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15">
    <w:name w:val="xl165"/>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16">
    <w:name w:val="xl166"/>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17">
    <w:name w:val="xl167"/>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18">
    <w:name w:val="xl168"/>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19">
    <w:name w:val="xl169"/>
    <w:basedOn w:val="1"/>
    <w:uiPriority w:val="0"/>
    <w:pPr>
      <w:pBdr>
        <w:left w:val="single" w:color="auto" w:sz="4"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20">
    <w:name w:val="xl170"/>
    <w:basedOn w:val="1"/>
    <w:uiPriority w:val="0"/>
    <w:pPr>
      <w:pBdr>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21">
    <w:name w:val="xl171"/>
    <w:basedOn w:val="1"/>
    <w:uiPriority w:val="0"/>
    <w:pPr>
      <w:pBdr>
        <w:lef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122">
    <w:name w:val="xl172"/>
    <w:basedOn w:val="1"/>
    <w:uiPriority w:val="0"/>
    <w:pP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123">
    <w:name w:val="xl173"/>
    <w:basedOn w:val="1"/>
    <w:uiPriority w:val="0"/>
    <w:pPr>
      <w:pBdr>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uk-UA" w:eastAsia="uk-UA"/>
    </w:rPr>
  </w:style>
  <w:style w:type="paragraph" w:customStyle="1" w:styleId="124">
    <w:name w:val="xl174"/>
    <w:basedOn w:val="1"/>
    <w:uiPriority w:val="0"/>
    <w:pPr>
      <w:pBdr>
        <w:left w:val="single" w:color="auto" w:sz="4"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25">
    <w:name w:val="xl175"/>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26">
    <w:name w:val="xl176"/>
    <w:basedOn w:val="1"/>
    <w:uiPriority w:val="0"/>
    <w:pPr>
      <w:pBdr>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27">
    <w:name w:val="xl177"/>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28">
    <w:name w:val="xl178"/>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29">
    <w:name w:val="xl179"/>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0">
    <w:name w:val="xl180"/>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1">
    <w:name w:val="xl181"/>
    <w:basedOn w:val="1"/>
    <w:uiPriority w:val="0"/>
    <w:pPr>
      <w:pBdr>
        <w:left w:val="single" w:color="auto" w:sz="4"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2">
    <w:name w:val="xl182"/>
    <w:basedOn w:val="1"/>
    <w:uiPriority w:val="0"/>
    <w:pPr>
      <w:pBdr>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3">
    <w:name w:val="xl183"/>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4">
    <w:name w:val="xl184"/>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uk-UA" w:eastAsia="uk-UA"/>
    </w:rPr>
  </w:style>
  <w:style w:type="paragraph" w:customStyle="1" w:styleId="135">
    <w:name w:val="xl185"/>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6">
    <w:name w:val="xl186"/>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7">
    <w:name w:val="xl187"/>
    <w:basedOn w:val="1"/>
    <w:uiPriority w:val="0"/>
    <w:pPr>
      <w:pBdr>
        <w:left w:val="single" w:color="auto" w:sz="4"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8">
    <w:name w:val="xl188"/>
    <w:basedOn w:val="1"/>
    <w:uiPriority w:val="0"/>
    <w:pPr>
      <w:pBdr>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uk-UA" w:eastAsia="uk-UA"/>
    </w:rPr>
  </w:style>
  <w:style w:type="paragraph" w:customStyle="1" w:styleId="139">
    <w:name w:val="xl189"/>
    <w:basedOn w:val="1"/>
    <w:uiPriority w:val="0"/>
    <w:pPr>
      <w:pBdr>
        <w:top w:val="single" w:color="auto" w:sz="8"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val="uk-UA" w:eastAsia="uk-UA"/>
    </w:rPr>
  </w:style>
  <w:style w:type="character" w:customStyle="1" w:styleId="140">
    <w:name w:val="Верхній колонтитул Знак"/>
    <w:basedOn w:val="6"/>
    <w:link w:val="4"/>
    <w:uiPriority w:val="99"/>
    <w:rPr>
      <w:rFonts w:ascii="Calibri" w:hAnsi="Calibri" w:eastAsia="Calibri" w:cs="Times New Roman"/>
      <w:lang w:val="uk-UA"/>
    </w:rPr>
  </w:style>
  <w:style w:type="character" w:customStyle="1" w:styleId="141">
    <w:name w:val="Нижній колонтитул Знак"/>
    <w:basedOn w:val="6"/>
    <w:link w:val="3"/>
    <w:uiPriority w:val="99"/>
    <w:rPr>
      <w:rFonts w:ascii="Calibri" w:hAnsi="Calibri" w:eastAsia="Calibri" w:cs="Times New Roman"/>
      <w:lang w:val="uk-UA"/>
    </w:rPr>
  </w:style>
  <w:style w:type="character" w:customStyle="1" w:styleId="142">
    <w:name w:val="Текст у виносці Знак"/>
    <w:basedOn w:val="6"/>
    <w:link w:val="2"/>
    <w:semiHidden/>
    <w:uiPriority w:val="99"/>
    <w:rPr>
      <w:rFonts w:ascii="Segoe UI" w:hAnsi="Segoe UI" w:cs="Segoe UI"/>
      <w:sz w:val="18"/>
      <w:szCs w:val="18"/>
    </w:rPr>
  </w:style>
  <w:style w:type="paragraph" w:customStyle="1" w:styleId="143">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customStyle="1" w:styleId="144">
    <w:name w:val="No Spacing"/>
    <w:qFormat/>
    <w:uiPriority w:val="1"/>
    <w:pPr>
      <w:spacing w:after="0" w:line="240"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3322</Words>
  <Characters>1895</Characters>
  <Lines>15</Lines>
  <Paragraphs>10</Paragraphs>
  <TotalTime>0</TotalTime>
  <ScaleCrop>false</ScaleCrop>
  <LinksUpToDate>false</LinksUpToDate>
  <CharactersWithSpaces>0</CharactersWithSpaces>
  <Application>WPS Office_9.1.0.5247_F1E327BC-269C-435d-A152-05C5408002CA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2022-07-19T10:22:00Z</dcterms:created>
  <dc:creator>user8</dc:creator>
  <cp:lastModifiedBy>Kochmar</cp:lastModifiedBy>
  <cp:lastPrinted>2022-07-25T13:00:00Z</cp:lastPrinted>
  <dcterms:modified xsi:type="dcterms:W3CDTF">2022-08-03T12:12:43Z</dcterms:modified>
  <dc:title>ДОДАТОК №1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1049-9.1.0.5247</vt:lpwstr>
  </property>
</Properties>
</file>