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77" w:rsidRPr="00990DBA" w:rsidRDefault="00C61C77" w:rsidP="000B491A">
      <w:pPr>
        <w:pStyle w:val="1"/>
        <w:ind w:left="5670"/>
        <w:rPr>
          <w:rStyle w:val="a"/>
          <w:rFonts w:ascii="Times New Roman" w:hAnsi="Times New Roman" w:cs="Times New Roman"/>
          <w:b/>
          <w:bCs/>
          <w:color w:val="auto"/>
          <w:sz w:val="22"/>
          <w:szCs w:val="22"/>
          <w:lang w:val="uk-UA"/>
        </w:rPr>
      </w:pPr>
      <w:r w:rsidRPr="00990DBA">
        <w:rPr>
          <w:rStyle w:val="a"/>
          <w:rFonts w:ascii="Times New Roman" w:hAnsi="Times New Roman" w:cs="Times New Roman"/>
          <w:b/>
          <w:bCs/>
          <w:color w:val="auto"/>
          <w:sz w:val="22"/>
          <w:szCs w:val="22"/>
          <w:lang w:val="uk-UA"/>
        </w:rPr>
        <w:t xml:space="preserve">Додаток 1 </w:t>
      </w:r>
    </w:p>
    <w:p w:rsidR="00C61C77" w:rsidRPr="00990DBA" w:rsidRDefault="00C61C77" w:rsidP="000B491A">
      <w:pPr>
        <w:pStyle w:val="1"/>
        <w:ind w:left="5670"/>
        <w:rPr>
          <w:rFonts w:ascii="Times New Roman" w:hAnsi="Times New Roman" w:cs="Times New Roman"/>
          <w:color w:val="auto"/>
          <w:lang w:val="uk-UA" w:eastAsia="en-US"/>
        </w:rPr>
      </w:pPr>
      <w:r w:rsidRPr="00990DBA">
        <w:rPr>
          <w:rStyle w:val="a"/>
          <w:rFonts w:ascii="Times New Roman" w:hAnsi="Times New Roman" w:cs="Times New Roman"/>
          <w:b/>
          <w:bCs/>
          <w:color w:val="auto"/>
          <w:sz w:val="22"/>
          <w:szCs w:val="22"/>
          <w:lang w:val="uk-UA"/>
        </w:rPr>
        <w:t xml:space="preserve">до Тендерної документації </w:t>
      </w:r>
    </w:p>
    <w:p w:rsidR="00C61C77" w:rsidRPr="00990DBA" w:rsidRDefault="00C61C77" w:rsidP="000B491A">
      <w:pPr>
        <w:pStyle w:val="1"/>
        <w:rPr>
          <w:b/>
          <w:bCs/>
          <w:color w:val="auto"/>
          <w:lang w:val="uk-UA" w:eastAsia="en-US"/>
        </w:rPr>
      </w:pPr>
    </w:p>
    <w:p w:rsidR="00C61C77" w:rsidRPr="00990DBA" w:rsidRDefault="00C61C77" w:rsidP="000B491A">
      <w:pPr>
        <w:pStyle w:val="1"/>
        <w:jc w:val="center"/>
        <w:rPr>
          <w:b/>
          <w:bCs/>
          <w:color w:val="auto"/>
          <w:lang w:val="uk-UA"/>
        </w:rPr>
      </w:pPr>
    </w:p>
    <w:p w:rsidR="00C61C77" w:rsidRPr="00990DBA" w:rsidRDefault="00C61C77" w:rsidP="000B491A">
      <w:pPr>
        <w:shd w:val="clear" w:color="auto" w:fill="FFFFFF"/>
        <w:spacing w:line="240" w:lineRule="auto"/>
        <w:ind w:left="360"/>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u w:val="single"/>
          <w:lang w:val="uk-UA" w:eastAsia="ru-RU"/>
        </w:rPr>
        <w:t xml:space="preserve">РОЗДІЛ 1.   </w:t>
      </w:r>
      <w:r w:rsidRPr="00990DBA">
        <w:rPr>
          <w:rFonts w:ascii="Times New Roman" w:hAnsi="Times New Roman" w:cs="Times New Roman"/>
          <w:b/>
          <w:bCs/>
          <w:color w:val="auto"/>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0A0"/>
      </w:tblPr>
      <w:tblGrid>
        <w:gridCol w:w="779"/>
        <w:gridCol w:w="3684"/>
        <w:gridCol w:w="5376"/>
      </w:tblGrid>
      <w:tr w:rsidR="00C61C77" w:rsidRPr="00990DB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1C77" w:rsidRPr="00990DBA" w:rsidRDefault="00C61C77" w:rsidP="00D752DE">
            <w:pPr>
              <w:spacing w:line="240" w:lineRule="auto"/>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1C77" w:rsidRPr="00990DBA" w:rsidRDefault="00C61C77" w:rsidP="00D752DE">
            <w:pPr>
              <w:spacing w:line="240" w:lineRule="auto"/>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1C77" w:rsidRPr="00990DBA" w:rsidRDefault="00C61C77" w:rsidP="00D752DE">
            <w:pPr>
              <w:spacing w:line="240" w:lineRule="auto"/>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lang w:val="uk-UA" w:eastAsia="ru-RU"/>
              </w:rPr>
              <w:t>Документи, які підтверджують відповідність Учасника кваліфікаційним критеріям</w:t>
            </w:r>
          </w:p>
        </w:tc>
      </w:tr>
      <w:tr w:rsidR="00C61C77" w:rsidRPr="00990DBA">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DB5E0E">
            <w:pPr>
              <w:spacing w:line="240" w:lineRule="auto"/>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DB5E0E">
            <w:pPr>
              <w:spacing w:line="240" w:lineRule="auto"/>
              <w:jc w:val="both"/>
              <w:rPr>
                <w:rFonts w:ascii="Times New Roman" w:hAnsi="Times New Roman" w:cs="Times New Roman"/>
                <w:i/>
                <w:iCs/>
                <w:color w:val="auto"/>
                <w:sz w:val="24"/>
                <w:szCs w:val="24"/>
                <w:lang w:val="uk-UA" w:eastAsia="ru-RU"/>
              </w:rPr>
            </w:pPr>
            <w:r w:rsidRPr="00990DBA">
              <w:rPr>
                <w:rFonts w:ascii="Times New Roman" w:hAnsi="Times New Roman" w:cs="Times New Roman"/>
                <w:b/>
                <w:bCs/>
                <w:color w:val="auto"/>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DB5E0E">
            <w:pPr>
              <w:spacing w:line="20" w:lineRule="atLeast"/>
              <w:jc w:val="both"/>
              <w:rPr>
                <w:rFonts w:ascii="Times New Roman" w:hAnsi="Times New Roman" w:cs="Times New Roman"/>
                <w:sz w:val="24"/>
                <w:szCs w:val="24"/>
                <w:lang w:val="uk-UA"/>
              </w:rPr>
            </w:pPr>
            <w:r w:rsidRPr="00990DBA">
              <w:rPr>
                <w:rFonts w:ascii="Times New Roman" w:hAnsi="Times New Roman" w:cs="Times New Roman"/>
                <w:color w:val="auto"/>
                <w:sz w:val="24"/>
                <w:szCs w:val="24"/>
                <w:lang w:val="uk-UA"/>
              </w:rPr>
              <w:t xml:space="preserve"> </w:t>
            </w:r>
            <w:r w:rsidRPr="00990DBA">
              <w:rPr>
                <w:rFonts w:ascii="Times New Roman" w:hAnsi="Times New Roman" w:cs="Times New Roman"/>
                <w:sz w:val="24"/>
                <w:szCs w:val="24"/>
                <w:lang w:val="uk-UA"/>
              </w:rPr>
              <w:t xml:space="preserve">1.1. Довідку у довільній формі, </w:t>
            </w:r>
            <w:r w:rsidRPr="00990DBA">
              <w:rPr>
                <w:rFonts w:ascii="Times New Roman" w:hAnsi="Times New Roman" w:cs="Times New Roman"/>
                <w:color w:val="auto"/>
                <w:sz w:val="24"/>
                <w:szCs w:val="24"/>
                <w:lang w:val="uk-UA"/>
              </w:rPr>
              <w:t xml:space="preserve">що містить інформацію про досвід </w:t>
            </w:r>
            <w:r w:rsidRPr="00990DBA">
              <w:rPr>
                <w:rFonts w:ascii="Times New Roman" w:hAnsi="Times New Roman" w:cs="Times New Roman"/>
                <w:sz w:val="24"/>
                <w:szCs w:val="24"/>
                <w:lang w:val="uk-UA"/>
              </w:rPr>
              <w:t>виконання аналогічного (аналогічних) за предметом закупівлі договору (договорів)</w:t>
            </w:r>
            <w:r w:rsidRPr="00990DBA">
              <w:rPr>
                <w:rFonts w:ascii="Times New Roman" w:hAnsi="Times New Roman" w:cs="Times New Roman"/>
                <w:color w:val="auto"/>
                <w:sz w:val="24"/>
                <w:szCs w:val="24"/>
                <w:lang w:val="uk-UA"/>
              </w:rPr>
              <w:t>.</w:t>
            </w:r>
            <w:r w:rsidRPr="00990DBA">
              <w:rPr>
                <w:rFonts w:ascii="Times New Roman" w:hAnsi="Times New Roman" w:cs="Times New Roman"/>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rsidR="00C61C77" w:rsidRPr="00990DBA" w:rsidRDefault="00C61C77" w:rsidP="00DB5E0E">
            <w:pPr>
              <w:spacing w:line="20" w:lineRule="atLeast"/>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1.1.1. не менше 1 копії договору в повному обсязі;</w:t>
            </w:r>
          </w:p>
          <w:p w:rsidR="00C61C77" w:rsidRPr="00990DBA" w:rsidRDefault="00C61C77" w:rsidP="00DB5E0E">
            <w:pPr>
              <w:spacing w:line="20" w:lineRule="atLeast"/>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1.1.2. документи, що підтверджують виконання аналогічного договору (акти, накладні, тощо)</w:t>
            </w:r>
          </w:p>
          <w:p w:rsidR="00C61C77" w:rsidRPr="00990DBA" w:rsidRDefault="00C61C77" w:rsidP="00DB5E0E">
            <w:pPr>
              <w:spacing w:line="240" w:lineRule="auto"/>
              <w:jc w:val="both"/>
              <w:rPr>
                <w:rFonts w:ascii="Times New Roman" w:hAnsi="Times New Roman" w:cs="Times New Roman"/>
                <w:sz w:val="24"/>
                <w:szCs w:val="24"/>
                <w:lang w:val="uk-UA"/>
              </w:rPr>
            </w:pPr>
            <w:r w:rsidRPr="00990DBA">
              <w:rPr>
                <w:rFonts w:ascii="Times New Roman" w:hAnsi="Times New Roman" w:cs="Times New Roman"/>
                <w:b/>
                <w:bCs/>
                <w:i/>
                <w:iCs/>
                <w:sz w:val="24"/>
                <w:szCs w:val="24"/>
                <w:lang w:val="uk-UA"/>
              </w:rPr>
              <w:t>Аналогічним договором вважається повністю виконаний договір, за яким учасник надавав послуги з охорони майна на об’єктах технічними засобами (пультова охорона) та/або відповідно до коду ДК</w:t>
            </w:r>
            <w:r w:rsidRPr="00990DBA">
              <w:rPr>
                <w:rFonts w:ascii="Times New Roman" w:hAnsi="Times New Roman" w:cs="Times New Roman"/>
                <w:i/>
                <w:iCs/>
                <w:sz w:val="24"/>
                <w:szCs w:val="24"/>
                <w:lang w:val="uk-UA"/>
              </w:rPr>
              <w:t>.</w:t>
            </w:r>
          </w:p>
          <w:p w:rsidR="00C61C77" w:rsidRPr="00990DBA" w:rsidRDefault="00C61C77" w:rsidP="00DB5E0E">
            <w:pPr>
              <w:spacing w:line="240" w:lineRule="auto"/>
              <w:jc w:val="both"/>
              <w:rPr>
                <w:rFonts w:ascii="Times New Roman" w:hAnsi="Times New Roman" w:cs="Times New Roman"/>
                <w:color w:val="auto"/>
                <w:sz w:val="24"/>
                <w:szCs w:val="24"/>
                <w:lang w:val="uk-UA" w:eastAsia="ru-RU"/>
              </w:rPr>
            </w:pPr>
          </w:p>
        </w:tc>
      </w:tr>
      <w:tr w:rsidR="00C61C77" w:rsidRPr="00990DBA">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FD794E">
            <w:pPr>
              <w:spacing w:line="240" w:lineRule="auto"/>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FD794E">
            <w:pPr>
              <w:spacing w:line="240" w:lineRule="auto"/>
              <w:jc w:val="both"/>
              <w:rPr>
                <w:rFonts w:ascii="Times New Roman" w:hAnsi="Times New Roman" w:cs="Times New Roman"/>
                <w:i/>
                <w:iCs/>
                <w:color w:val="auto"/>
                <w:sz w:val="24"/>
                <w:szCs w:val="24"/>
                <w:lang w:val="uk-UA" w:eastAsia="ru-RU"/>
              </w:rPr>
            </w:pPr>
            <w:r w:rsidRPr="00990DBA">
              <w:rPr>
                <w:rFonts w:ascii="Times New Roman" w:hAnsi="Times New Roman" w:cs="Times New Roman"/>
                <w:b/>
                <w:bCs/>
                <w:sz w:val="24"/>
                <w:szCs w:val="24"/>
                <w:lang w:val="uk-UA"/>
              </w:rPr>
              <w:t>Наявність в учасника закупівлі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FD794E">
            <w:pPr>
              <w:spacing w:line="20" w:lineRule="atLeast"/>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 xml:space="preserve">2.1. Довідка  про наявність працівників відповідної кваліфікації, які мають необхідні знання та досвід із зазначенням ПІБ та посади а саме: </w:t>
            </w:r>
          </w:p>
          <w:p w:rsidR="00C61C77" w:rsidRPr="00990DBA" w:rsidRDefault="00C61C77" w:rsidP="00FD794E">
            <w:pPr>
              <w:spacing w:line="240" w:lineRule="auto"/>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2.1.1. Учасник повинен мати охоронників не нижче 3-го розряду. В якості підтверджуючих документів надати: копії документів про присвоєння (підвищення) кваліфікації охоронник (охоронець) не нижче 3 розряду;</w:t>
            </w:r>
          </w:p>
          <w:p w:rsidR="00C61C77" w:rsidRPr="00990DBA" w:rsidRDefault="00C61C77" w:rsidP="00FD794E">
            <w:pPr>
              <w:spacing w:line="240" w:lineRule="auto"/>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2.1.2. Учасник повинен мати операторів ПЦС, диспетчерів ПЦС, чергових ПЦС, тощо.</w:t>
            </w:r>
          </w:p>
          <w:p w:rsidR="00C61C77" w:rsidRPr="00990DBA" w:rsidRDefault="00C61C77" w:rsidP="00FD794E">
            <w:pPr>
              <w:spacing w:line="240" w:lineRule="auto"/>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2.1.3. Учасник повинен мати кваліфікованих працівників у кількості не менше 2-х для технічного обслуговування охоронно-</w:t>
            </w:r>
            <w:r>
              <w:rPr>
                <w:rFonts w:ascii="Times New Roman" w:hAnsi="Times New Roman" w:cs="Times New Roman"/>
                <w:sz w:val="24"/>
                <w:szCs w:val="24"/>
                <w:lang w:val="uk-UA"/>
              </w:rPr>
              <w:t>тривожного обладнання на об’єктах</w:t>
            </w:r>
            <w:r w:rsidRPr="00990DBA">
              <w:rPr>
                <w:rFonts w:ascii="Times New Roman" w:hAnsi="Times New Roman" w:cs="Times New Roman"/>
                <w:sz w:val="24"/>
                <w:szCs w:val="24"/>
                <w:lang w:val="uk-UA"/>
              </w:rPr>
              <w:t xml:space="preserve"> Замовника.</w:t>
            </w:r>
          </w:p>
          <w:p w:rsidR="00C61C77" w:rsidRPr="00990DBA" w:rsidRDefault="00C61C77" w:rsidP="00FD794E">
            <w:pPr>
              <w:spacing w:line="240" w:lineRule="auto"/>
              <w:jc w:val="both"/>
              <w:rPr>
                <w:rFonts w:ascii="Times New Roman" w:hAnsi="Times New Roman" w:cs="Times New Roman"/>
                <w:color w:val="auto"/>
                <w:sz w:val="24"/>
                <w:szCs w:val="24"/>
                <w:lang w:val="uk-UA" w:eastAsia="ru-RU"/>
              </w:rPr>
            </w:pPr>
            <w:r w:rsidRPr="00990DBA">
              <w:rPr>
                <w:rFonts w:ascii="Times New Roman" w:hAnsi="Times New Roman" w:cs="Times New Roman"/>
                <w:sz w:val="24"/>
                <w:szCs w:val="24"/>
                <w:lang w:val="uk-UA"/>
              </w:rPr>
              <w:t>2.1.4.Учасник повинен мати кваліфікованого інженера (інженер, інженер ПЦС, інженер-програміст тощо.)</w:t>
            </w:r>
          </w:p>
        </w:tc>
      </w:tr>
      <w:tr w:rsidR="00C61C77" w:rsidRPr="00AB64D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D752DE">
            <w:pPr>
              <w:spacing w:line="240" w:lineRule="auto"/>
              <w:jc w:val="center"/>
              <w:rPr>
                <w:rFonts w:ascii="Times New Roman" w:hAnsi="Times New Roman" w:cs="Times New Roman"/>
                <w:b/>
                <w:bCs/>
                <w:color w:val="auto"/>
                <w:sz w:val="24"/>
                <w:szCs w:val="24"/>
                <w:lang w:val="uk-UA" w:eastAsia="ru-RU"/>
              </w:rPr>
            </w:pPr>
            <w:r w:rsidRPr="00990DBA">
              <w:rPr>
                <w:rFonts w:ascii="Times New Roman" w:hAnsi="Times New Roman" w:cs="Times New Roman"/>
                <w:b/>
                <w:bCs/>
                <w:color w:val="auto"/>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D752DE">
            <w:pPr>
              <w:spacing w:line="240" w:lineRule="auto"/>
              <w:jc w:val="both"/>
              <w:rPr>
                <w:rFonts w:ascii="Times New Roman" w:hAnsi="Times New Roman" w:cs="Times New Roman"/>
                <w:b/>
                <w:bCs/>
                <w:sz w:val="24"/>
                <w:szCs w:val="24"/>
                <w:lang w:val="uk-UA"/>
              </w:rPr>
            </w:pPr>
            <w:r w:rsidRPr="00990DBA">
              <w:rPr>
                <w:rFonts w:ascii="Times New Roman" w:hAnsi="Times New Roman" w:cs="Times New Roman"/>
                <w:b/>
                <w:bCs/>
                <w:sz w:val="24"/>
                <w:szCs w:val="24"/>
                <w:lang w:val="uk-UA" w:eastAsia="zh-CN"/>
              </w:rPr>
              <w:t xml:space="preserve">Наявність </w:t>
            </w:r>
            <w:r w:rsidRPr="00990DBA">
              <w:rPr>
                <w:rFonts w:ascii="Times New Roman" w:hAnsi="Times New Roman" w:cs="Times New Roman"/>
                <w:b/>
                <w:bCs/>
                <w:sz w:val="24"/>
                <w:szCs w:val="24"/>
                <w:lang w:val="uk-UA"/>
              </w:rPr>
              <w:t>обладнання</w:t>
            </w:r>
            <w:r w:rsidRPr="00990DBA">
              <w:rPr>
                <w:rFonts w:ascii="Times New Roman" w:hAnsi="Times New Roman" w:cs="Times New Roman"/>
                <w:b/>
                <w:bCs/>
                <w:sz w:val="24"/>
                <w:szCs w:val="24"/>
                <w:lang w:val="uk-UA" w:eastAsia="zh-CN"/>
              </w:rPr>
              <w:t xml:space="preserve"> та матеріально – технічної бази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1C77" w:rsidRPr="00990DBA" w:rsidRDefault="00C61C77" w:rsidP="00FC26CE">
            <w:pPr>
              <w:spacing w:line="20" w:lineRule="atLeast"/>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3.1.У зв'язку з наявністю на деяких об'єктах обладнання охоронно-тривожної сигналізації (приймально-контрольні прилади, клавіатури, розширювачі та інше)</w:t>
            </w:r>
            <w:r>
              <w:rPr>
                <w:rFonts w:ascii="Times New Roman" w:hAnsi="Times New Roman" w:cs="Times New Roman"/>
                <w:sz w:val="24"/>
                <w:szCs w:val="24"/>
                <w:lang w:val="uk-UA"/>
              </w:rPr>
              <w:t>, яке не належить замовнику,</w:t>
            </w:r>
            <w:r w:rsidRPr="00990DBA">
              <w:rPr>
                <w:rFonts w:ascii="Times New Roman" w:hAnsi="Times New Roman" w:cs="Times New Roman"/>
                <w:sz w:val="24"/>
                <w:szCs w:val="24"/>
                <w:lang w:val="uk-UA"/>
              </w:rPr>
              <w:t xml:space="preserve"> учасник повинен надати у складі пропозиції гарантійний лист щодо можливості передачі необхідного обладнання на період надання охоронних послуг. Вартість закупівлі охоронних послуг повинна включати в себе вартість </w:t>
            </w:r>
            <w:r>
              <w:rPr>
                <w:rFonts w:ascii="Times New Roman" w:hAnsi="Times New Roman" w:cs="Times New Roman"/>
                <w:sz w:val="24"/>
                <w:szCs w:val="24"/>
                <w:lang w:val="uk-UA"/>
              </w:rPr>
              <w:t xml:space="preserve">встановлення </w:t>
            </w:r>
            <w:r w:rsidRPr="00990DBA">
              <w:rPr>
                <w:rFonts w:ascii="Times New Roman" w:hAnsi="Times New Roman" w:cs="Times New Roman"/>
                <w:sz w:val="24"/>
                <w:szCs w:val="24"/>
                <w:lang w:val="uk-UA"/>
              </w:rPr>
              <w:t>додаткового обладнання та комунікацій (підключення послуги), якщо вони будуть необхідні для надання послуги.</w:t>
            </w:r>
          </w:p>
          <w:p w:rsidR="00C61C77" w:rsidRPr="00990DBA" w:rsidRDefault="00C61C77" w:rsidP="00FC26CE">
            <w:pPr>
              <w:spacing w:line="20" w:lineRule="atLeast"/>
              <w:rPr>
                <w:rFonts w:ascii="Times New Roman" w:hAnsi="Times New Roman" w:cs="Times New Roman"/>
                <w:sz w:val="24"/>
                <w:szCs w:val="24"/>
                <w:lang w:val="uk-UA"/>
              </w:rPr>
            </w:pPr>
            <w:r w:rsidRPr="00990DBA">
              <w:rPr>
                <w:rFonts w:ascii="Times New Roman" w:hAnsi="Times New Roman" w:cs="Times New Roman"/>
                <w:sz w:val="24"/>
                <w:szCs w:val="24"/>
                <w:lang w:val="uk-UA"/>
              </w:rPr>
              <w:t>3.2. Довідку у довільній формі про наявність обладнання, матеріально-технічної бази та технологій для надання зазначених послуг а саме.</w:t>
            </w:r>
          </w:p>
          <w:p w:rsidR="00C61C77" w:rsidRDefault="00C61C77" w:rsidP="003C33A4">
            <w:pPr>
              <w:spacing w:line="20" w:lineRule="atLeast"/>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 про забезпечення Учасником негайного виїзду групи реагування на об’єкт, що знаходиться під спостереженням у разі спрацювання охоронної та тривожної сигналізації;</w:t>
            </w:r>
            <w:r>
              <w:rPr>
                <w:rFonts w:ascii="Times New Roman" w:hAnsi="Times New Roman" w:cs="Times New Roman"/>
                <w:sz w:val="24"/>
                <w:szCs w:val="24"/>
                <w:lang w:val="uk-UA"/>
              </w:rPr>
              <w:t xml:space="preserve"> в довідці має бути вказано </w:t>
            </w:r>
            <w:r w:rsidRPr="003C33A4">
              <w:rPr>
                <w:rFonts w:ascii="Times New Roman" w:hAnsi="Times New Roman" w:cs="Times New Roman"/>
                <w:sz w:val="24"/>
                <w:szCs w:val="24"/>
                <w:lang w:val="uk-UA"/>
              </w:rPr>
              <w:t xml:space="preserve">назва, марка, державний номер та правова підстава користування автотранспорту реагування, який буде використовуватись для виконання умов договору. </w:t>
            </w:r>
          </w:p>
          <w:p w:rsidR="00C61C77" w:rsidRPr="003C33A4" w:rsidRDefault="00C61C77" w:rsidP="003C33A4">
            <w:pPr>
              <w:spacing w:line="20" w:lineRule="atLeast"/>
              <w:jc w:val="both"/>
              <w:rPr>
                <w:rFonts w:ascii="Times New Roman" w:hAnsi="Times New Roman" w:cs="Times New Roman"/>
                <w:sz w:val="24"/>
                <w:szCs w:val="24"/>
                <w:lang w:val="uk-UA"/>
              </w:rPr>
            </w:pPr>
            <w:r w:rsidRPr="003C33A4">
              <w:rPr>
                <w:rFonts w:ascii="Times New Roman" w:hAnsi="Times New Roman" w:cs="Times New Roman"/>
                <w:sz w:val="24"/>
                <w:szCs w:val="24"/>
                <w:lang w:val="uk-UA"/>
              </w:rPr>
              <w:t xml:space="preserve">На підтвердження </w:t>
            </w:r>
            <w:r>
              <w:rPr>
                <w:rFonts w:ascii="Times New Roman" w:hAnsi="Times New Roman" w:cs="Times New Roman"/>
                <w:sz w:val="24"/>
                <w:szCs w:val="24"/>
                <w:lang w:val="uk-UA"/>
              </w:rPr>
              <w:t xml:space="preserve">зазначеної інформації на </w:t>
            </w:r>
            <w:r w:rsidRPr="002353A8">
              <w:rPr>
                <w:rFonts w:ascii="Times New Roman" w:hAnsi="Times New Roman" w:cs="Times New Roman"/>
                <w:sz w:val="24"/>
                <w:szCs w:val="24"/>
                <w:lang w:val="uk-UA"/>
              </w:rPr>
              <w:t>кожну одиницю транспорту реагування, який буде використовуватись при наданні послуг і зазначений у довідці</w:t>
            </w:r>
            <w:r w:rsidRPr="003C33A4">
              <w:rPr>
                <w:rFonts w:ascii="Times New Roman" w:hAnsi="Times New Roman" w:cs="Times New Roman"/>
                <w:sz w:val="24"/>
                <w:szCs w:val="24"/>
                <w:lang w:val="uk-UA"/>
              </w:rPr>
              <w:t>, учасник у складі пропозиції повинен надати: копії (копію) свідоцтв (свідоцтва) про реєстрацію транспорту (при наявності власного автотранспорту);</w:t>
            </w:r>
            <w:r>
              <w:rPr>
                <w:rFonts w:ascii="Times New Roman" w:hAnsi="Times New Roman" w:cs="Times New Roman"/>
                <w:sz w:val="24"/>
                <w:szCs w:val="24"/>
                <w:lang w:val="uk-UA"/>
              </w:rPr>
              <w:t xml:space="preserve"> я</w:t>
            </w:r>
            <w:r w:rsidRPr="00CA3DBD">
              <w:rPr>
                <w:rFonts w:ascii="Times New Roman" w:hAnsi="Times New Roman" w:cs="Times New Roman"/>
                <w:sz w:val="24"/>
                <w:szCs w:val="24"/>
                <w:lang w:val="uk-UA"/>
              </w:rPr>
              <w:t>кщо транспорт реагування не належить учаснику на праві власності, надати у складі пропозиції</w:t>
            </w:r>
            <w:r>
              <w:rPr>
                <w:rFonts w:ascii="Times New Roman" w:hAnsi="Times New Roman" w:cs="Times New Roman"/>
                <w:sz w:val="24"/>
                <w:szCs w:val="24"/>
                <w:lang w:val="uk-UA"/>
              </w:rPr>
              <w:t xml:space="preserve"> к</w:t>
            </w:r>
            <w:r w:rsidRPr="003C33A4">
              <w:rPr>
                <w:rFonts w:ascii="Times New Roman" w:hAnsi="Times New Roman" w:cs="Times New Roman"/>
                <w:sz w:val="24"/>
                <w:szCs w:val="24"/>
                <w:lang w:val="uk-UA"/>
              </w:rPr>
              <w:t>опії договорів оренди</w:t>
            </w:r>
            <w:r>
              <w:rPr>
                <w:rFonts w:ascii="Times New Roman" w:hAnsi="Times New Roman" w:cs="Times New Roman"/>
                <w:sz w:val="24"/>
                <w:szCs w:val="24"/>
                <w:lang w:val="uk-UA"/>
              </w:rPr>
              <w:t xml:space="preserve"> </w:t>
            </w:r>
            <w:r w:rsidRPr="00CA3DBD">
              <w:rPr>
                <w:rFonts w:ascii="Times New Roman" w:hAnsi="Times New Roman" w:cs="Times New Roman"/>
                <w:sz w:val="24"/>
                <w:szCs w:val="24"/>
                <w:lang w:val="uk-UA"/>
              </w:rPr>
              <w:t>/ суборенди/ лізингу/ позики/ позички/тощо</w:t>
            </w:r>
            <w:r w:rsidRPr="003C33A4">
              <w:rPr>
                <w:rFonts w:ascii="Times New Roman" w:hAnsi="Times New Roman" w:cs="Times New Roman"/>
                <w:sz w:val="24"/>
                <w:szCs w:val="24"/>
                <w:lang w:val="uk-UA"/>
              </w:rPr>
              <w:t xml:space="preserve"> транспортних засобів</w:t>
            </w:r>
            <w:r>
              <w:rPr>
                <w:rFonts w:ascii="Times New Roman" w:hAnsi="Times New Roman" w:cs="Times New Roman"/>
                <w:sz w:val="24"/>
                <w:szCs w:val="24"/>
                <w:lang w:val="uk-UA"/>
              </w:rPr>
              <w:t xml:space="preserve">, </w:t>
            </w:r>
            <w:r w:rsidRPr="003C33A4">
              <w:rPr>
                <w:rFonts w:ascii="Times New Roman" w:hAnsi="Times New Roman" w:cs="Times New Roman"/>
                <w:sz w:val="24"/>
                <w:szCs w:val="24"/>
                <w:lang w:val="uk-UA"/>
              </w:rPr>
              <w:t>чи</w:t>
            </w:r>
            <w:r>
              <w:rPr>
                <w:rFonts w:ascii="Times New Roman" w:hAnsi="Times New Roman" w:cs="Times New Roman"/>
                <w:sz w:val="24"/>
                <w:szCs w:val="24"/>
                <w:lang w:val="uk-UA"/>
              </w:rPr>
              <w:t>нних не менше ніж до 01.01.2025</w:t>
            </w:r>
            <w:r w:rsidRPr="003C33A4">
              <w:rPr>
                <w:rFonts w:ascii="Times New Roman" w:hAnsi="Times New Roman" w:cs="Times New Roman"/>
                <w:sz w:val="24"/>
                <w:szCs w:val="24"/>
                <w:lang w:val="uk-UA"/>
              </w:rPr>
              <w:t>р. (включно), з обов’язковим документальним підтвердженням наявності у іншої сторони транспортних засобів – копія свідоцтва про реєстрацію транспортних засобів.</w:t>
            </w:r>
          </w:p>
          <w:p w:rsidR="00C61C77" w:rsidRPr="003A6E60" w:rsidRDefault="00C61C77" w:rsidP="00FC26CE">
            <w:pPr>
              <w:spacing w:line="20" w:lineRule="atLeast"/>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 про наявність сертифікованого пульта</w:t>
            </w:r>
            <w:r>
              <w:rPr>
                <w:rFonts w:ascii="Times New Roman" w:hAnsi="Times New Roman" w:cs="Times New Roman"/>
                <w:sz w:val="24"/>
                <w:szCs w:val="24"/>
                <w:lang w:val="uk-UA"/>
              </w:rPr>
              <w:t xml:space="preserve"> централізованого спостереження, </w:t>
            </w:r>
            <w:r w:rsidRPr="003A6E60">
              <w:rPr>
                <w:rFonts w:ascii="Times New Roman" w:hAnsi="Times New Roman" w:cs="Times New Roman"/>
                <w:sz w:val="24"/>
                <w:szCs w:val="24"/>
                <w:lang w:val="uk-UA"/>
              </w:rPr>
              <w:t>який відповідає вимогам чинних ДСТУ (учасник надає копію сертифікату відповідності</w:t>
            </w:r>
            <w:r>
              <w:rPr>
                <w:rFonts w:ascii="Times New Roman" w:hAnsi="Times New Roman" w:cs="Times New Roman"/>
                <w:sz w:val="24"/>
                <w:szCs w:val="24"/>
                <w:lang w:val="uk-UA"/>
              </w:rPr>
              <w:t>).</w:t>
            </w:r>
          </w:p>
          <w:p w:rsidR="00C61C77" w:rsidRPr="00990DBA" w:rsidRDefault="00C61C77" w:rsidP="00990DBA">
            <w:pPr>
              <w:numPr>
                <w:ilvl w:val="0"/>
                <w:numId w:val="1"/>
              </w:numPr>
              <w:shd w:val="clear" w:color="auto" w:fill="FFFFFF"/>
              <w:tabs>
                <w:tab w:val="clear" w:pos="720"/>
                <w:tab w:val="num" w:pos="0"/>
              </w:tabs>
              <w:suppressAutoHyphens/>
              <w:snapToGrid w:val="0"/>
              <w:spacing w:line="240" w:lineRule="auto"/>
              <w:ind w:left="37"/>
              <w:jc w:val="both"/>
              <w:rPr>
                <w:rFonts w:ascii="Times New Roman" w:hAnsi="Times New Roman" w:cs="Times New Roman"/>
                <w:lang w:val="uk-UA"/>
              </w:rPr>
            </w:pPr>
          </w:p>
          <w:p w:rsidR="00C61C77" w:rsidRPr="00990DBA" w:rsidRDefault="00C61C77" w:rsidP="00FC26CE">
            <w:pPr>
              <w:spacing w:line="20" w:lineRule="atLeast"/>
              <w:jc w:val="both"/>
              <w:rPr>
                <w:rFonts w:ascii="Times New Roman" w:hAnsi="Times New Roman" w:cs="Times New Roman"/>
                <w:sz w:val="24"/>
                <w:szCs w:val="24"/>
                <w:lang w:val="uk-UA"/>
              </w:rPr>
            </w:pPr>
          </w:p>
        </w:tc>
      </w:tr>
    </w:tbl>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0B491A">
      <w:pPr>
        <w:pStyle w:val="1"/>
        <w:jc w:val="center"/>
        <w:rPr>
          <w:b/>
          <w:bCs/>
          <w:color w:val="auto"/>
          <w:lang w:val="uk-UA"/>
        </w:rPr>
      </w:pPr>
    </w:p>
    <w:p w:rsidR="00C61C77" w:rsidRPr="00990DBA" w:rsidRDefault="00C61C77" w:rsidP="00AB64D6">
      <w:pPr>
        <w:pStyle w:val="1"/>
        <w:rPr>
          <w:b/>
          <w:bCs/>
          <w:color w:val="auto"/>
          <w:lang w:val="uk-UA"/>
        </w:rPr>
      </w:pPr>
    </w:p>
    <w:p w:rsidR="00C61C77" w:rsidRPr="00990DBA" w:rsidRDefault="00C61C77" w:rsidP="000B491A">
      <w:pPr>
        <w:pStyle w:val="1"/>
        <w:rPr>
          <w:b/>
          <w:bCs/>
          <w:color w:val="auto"/>
          <w:lang w:val="uk-UA"/>
        </w:rPr>
      </w:pPr>
      <w:bookmarkStart w:id="0" w:name="_GoBack"/>
      <w:bookmarkEnd w:id="0"/>
    </w:p>
    <w:p w:rsidR="00C61C77" w:rsidRPr="00990DBA" w:rsidRDefault="00C61C77" w:rsidP="000B491A">
      <w:pPr>
        <w:pStyle w:val="1"/>
        <w:jc w:val="center"/>
        <w:rPr>
          <w:rFonts w:ascii="Times New Roman" w:hAnsi="Times New Roman" w:cs="Times New Roman"/>
          <w:b/>
          <w:bCs/>
          <w:strike/>
          <w:color w:val="auto"/>
          <w:sz w:val="22"/>
          <w:szCs w:val="22"/>
          <w:lang w:val="uk-UA"/>
        </w:rPr>
      </w:pPr>
      <w:r w:rsidRPr="00990DBA">
        <w:rPr>
          <w:rFonts w:ascii="Times New Roman" w:hAnsi="Times New Roman" w:cs="Times New Roman"/>
          <w:b/>
          <w:bCs/>
          <w:color w:val="auto"/>
          <w:u w:val="single"/>
          <w:lang w:val="uk-UA" w:eastAsia="ru-RU"/>
        </w:rPr>
        <w:t xml:space="preserve">РОЗДІЛ 2.   </w:t>
      </w:r>
      <w:bookmarkStart w:id="1" w:name="_Hlk74566690"/>
      <w:r w:rsidRPr="00990DBA">
        <w:rPr>
          <w:rFonts w:ascii="Times New Roman" w:hAnsi="Times New Roman" w:cs="Times New Roman"/>
          <w:b/>
          <w:bCs/>
          <w:color w:val="auto"/>
          <w:u w:val="single"/>
          <w:lang w:val="uk-UA" w:eastAsia="ru-RU"/>
        </w:rPr>
        <w:t xml:space="preserve"> </w:t>
      </w:r>
      <w:r w:rsidRPr="00990DBA">
        <w:rPr>
          <w:rFonts w:ascii="Times New Roman" w:hAnsi="Times New Roman" w:cs="Times New Roman"/>
          <w:b/>
          <w:bCs/>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61C77" w:rsidRPr="00990DBA" w:rsidRDefault="00C61C77" w:rsidP="000B491A">
      <w:pPr>
        <w:pStyle w:val="ListParagraph"/>
        <w:spacing w:after="0" w:line="240" w:lineRule="auto"/>
        <w:ind w:left="420"/>
        <w:rPr>
          <w:rFonts w:ascii="Times New Roman" w:hAnsi="Times New Roman" w:cs="Times New Roman"/>
          <w:sz w:val="16"/>
          <w:szCs w:val="16"/>
          <w:lang w:val="uk-UA" w:eastAsia="uk-UA"/>
        </w:rPr>
      </w:pPr>
      <w:bookmarkStart w:id="2" w:name="_Hlk41326527"/>
    </w:p>
    <w:bookmarkEnd w:id="1"/>
    <w:bookmarkEnd w:id="2"/>
    <w:p w:rsidR="00C61C77" w:rsidRPr="00990DBA" w:rsidRDefault="00C61C77" w:rsidP="000B491A">
      <w:pPr>
        <w:spacing w:line="240" w:lineRule="auto"/>
        <w:ind w:firstLine="708"/>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2.1.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61C77" w:rsidRPr="00990DBA" w:rsidRDefault="00C61C77" w:rsidP="000B491A">
      <w:pPr>
        <w:spacing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підпунктів1,7,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1C77" w:rsidRPr="00990DBA" w:rsidRDefault="00C61C77" w:rsidP="000B491A">
      <w:pPr>
        <w:spacing w:after="120" w:line="240" w:lineRule="auto"/>
        <w:ind w:firstLine="709"/>
        <w:jc w:val="both"/>
        <w:rPr>
          <w:rFonts w:ascii="Times New Roman" w:hAnsi="Times New Roman" w:cs="Times New Roman"/>
          <w:sz w:val="24"/>
          <w:szCs w:val="24"/>
          <w:lang w:val="uk-UA"/>
        </w:rPr>
      </w:pPr>
      <w:r w:rsidRPr="00990DBA">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1C77" w:rsidRPr="00990DBA" w:rsidRDefault="00C61C77" w:rsidP="000B491A">
      <w:pPr>
        <w:spacing w:line="240" w:lineRule="auto"/>
        <w:ind w:firstLine="708"/>
        <w:jc w:val="both"/>
        <w:rPr>
          <w:rFonts w:ascii="Times New Roman" w:hAnsi="Times New Roman" w:cs="Times New Roman"/>
          <w:b/>
          <w:bCs/>
          <w:sz w:val="24"/>
          <w:szCs w:val="24"/>
          <w:lang w:val="uk-UA" w:eastAsia="ru-RU"/>
        </w:rPr>
      </w:pPr>
      <w:r w:rsidRPr="00990DBA">
        <w:rPr>
          <w:rFonts w:ascii="Times New Roman" w:hAnsi="Times New Roman" w:cs="Times New Roman"/>
          <w:b/>
          <w:bCs/>
          <w:sz w:val="24"/>
          <w:szCs w:val="24"/>
          <w:lang w:val="uk-UA" w:eastAsia="ru-RU"/>
        </w:rPr>
        <w:t>2.2.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1C77" w:rsidRPr="00990DBA" w:rsidRDefault="00C61C77" w:rsidP="000B491A">
      <w:pPr>
        <w:spacing w:line="240" w:lineRule="auto"/>
        <w:ind w:firstLine="708"/>
        <w:jc w:val="both"/>
        <w:rPr>
          <w:rFonts w:ascii="Times New Roman" w:hAnsi="Times New Roman" w:cs="Times New Roman"/>
          <w:b/>
          <w:bCs/>
          <w:sz w:val="16"/>
          <w:szCs w:val="16"/>
          <w:lang w:val="uk-UA" w:eastAsia="ru-RU"/>
        </w:rPr>
      </w:pPr>
    </w:p>
    <w:p w:rsidR="00C61C77" w:rsidRPr="00990DBA" w:rsidRDefault="00C61C77" w:rsidP="000B491A">
      <w:pPr>
        <w:pStyle w:val="1"/>
        <w:jc w:val="center"/>
        <w:rPr>
          <w:lang w:val="uk-UA"/>
        </w:rPr>
      </w:pPr>
    </w:p>
    <w:tbl>
      <w:tblPr>
        <w:tblW w:w="961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C61C77" w:rsidRPr="008D78D9">
        <w:trPr>
          <w:trHeight w:val="1231"/>
        </w:trPr>
        <w:tc>
          <w:tcPr>
            <w:tcW w:w="765" w:type="dxa"/>
            <w:tcMar>
              <w:top w:w="100" w:type="dxa"/>
              <w:left w:w="100" w:type="dxa"/>
              <w:bottom w:w="100" w:type="dxa"/>
              <w:right w:w="100" w:type="dxa"/>
            </w:tcMar>
          </w:tcPr>
          <w:p w:rsidR="00C61C77" w:rsidRPr="008D78D9" w:rsidRDefault="00C61C77" w:rsidP="00C05204">
            <w:pPr>
              <w:spacing w:line="240" w:lineRule="auto"/>
              <w:ind w:left="100"/>
              <w:jc w:val="center"/>
              <w:rPr>
                <w:rFonts w:ascii="Times New Roman" w:hAnsi="Times New Roman" w:cs="Times New Roman"/>
                <w:sz w:val="24"/>
                <w:szCs w:val="24"/>
                <w:lang w:val="uk-UA"/>
              </w:rPr>
            </w:pPr>
            <w:bookmarkStart w:id="3" w:name="_Hlk37754101"/>
            <w:r w:rsidRPr="008D78D9">
              <w:rPr>
                <w:rFonts w:ascii="Times New Roman" w:hAnsi="Times New Roman" w:cs="Times New Roman"/>
                <w:b/>
                <w:bCs/>
                <w:sz w:val="24"/>
                <w:szCs w:val="24"/>
                <w:lang w:val="uk-UA"/>
              </w:rPr>
              <w:t>№</w:t>
            </w:r>
          </w:p>
          <w:p w:rsidR="00C61C77" w:rsidRPr="008D78D9" w:rsidRDefault="00C61C77" w:rsidP="00C05204">
            <w:pPr>
              <w:spacing w:line="240" w:lineRule="auto"/>
              <w:ind w:left="100"/>
              <w:jc w:val="center"/>
              <w:rPr>
                <w:rFonts w:ascii="Times New Roman" w:hAnsi="Times New Roman" w:cs="Times New Roman"/>
                <w:sz w:val="24"/>
                <w:szCs w:val="24"/>
                <w:lang w:val="uk-UA"/>
              </w:rPr>
            </w:pPr>
            <w:r w:rsidRPr="008D78D9">
              <w:rPr>
                <w:rFonts w:ascii="Times New Roman" w:hAnsi="Times New Roman" w:cs="Times New Roman"/>
                <w:b/>
                <w:bCs/>
                <w:sz w:val="24"/>
                <w:szCs w:val="24"/>
                <w:lang w:val="uk-UA"/>
              </w:rPr>
              <w:t>з/п</w:t>
            </w:r>
          </w:p>
        </w:tc>
        <w:tc>
          <w:tcPr>
            <w:tcW w:w="4350" w:type="dxa"/>
            <w:tcMar>
              <w:top w:w="100" w:type="dxa"/>
              <w:left w:w="100" w:type="dxa"/>
              <w:bottom w:w="100" w:type="dxa"/>
              <w:right w:w="100" w:type="dxa"/>
            </w:tcMar>
          </w:tcPr>
          <w:p w:rsidR="00C61C77" w:rsidRPr="008D78D9" w:rsidRDefault="00C61C77" w:rsidP="00C05204">
            <w:pPr>
              <w:spacing w:line="240" w:lineRule="auto"/>
              <w:ind w:left="100"/>
              <w:jc w:val="both"/>
              <w:rPr>
                <w:rFonts w:ascii="Times New Roman" w:hAnsi="Times New Roman" w:cs="Times New Roman"/>
                <w:sz w:val="24"/>
                <w:szCs w:val="24"/>
                <w:lang w:val="uk-UA"/>
              </w:rPr>
            </w:pPr>
            <w:r w:rsidRPr="008D78D9">
              <w:rPr>
                <w:rFonts w:ascii="Times New Roman" w:hAnsi="Times New Roman" w:cs="Times New Roman"/>
                <w:b/>
                <w:bCs/>
                <w:sz w:val="24"/>
                <w:szCs w:val="24"/>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C61C77" w:rsidRPr="008D78D9" w:rsidRDefault="00C61C77" w:rsidP="00C05204">
            <w:pPr>
              <w:spacing w:line="240" w:lineRule="auto"/>
              <w:ind w:left="100"/>
              <w:jc w:val="both"/>
              <w:rPr>
                <w:rFonts w:ascii="Times New Roman" w:hAnsi="Times New Roman" w:cs="Times New Roman"/>
                <w:sz w:val="24"/>
                <w:szCs w:val="24"/>
                <w:lang w:val="uk-UA"/>
              </w:rPr>
            </w:pPr>
            <w:r w:rsidRPr="008D78D9">
              <w:rPr>
                <w:rFonts w:ascii="Times New Roman" w:hAnsi="Times New Roman" w:cs="Times New Roman"/>
                <w:b/>
                <w:bCs/>
                <w:sz w:val="24"/>
                <w:szCs w:val="24"/>
                <w:lang w:val="uk-UA"/>
              </w:rPr>
              <w:t>Спосіб надання учасником-переможцем інформації про відсутність підстав для відмови в участі у процедурі закупівлі:</w:t>
            </w:r>
          </w:p>
        </w:tc>
      </w:tr>
      <w:tr w:rsidR="00C61C77" w:rsidRPr="00AB64D6">
        <w:trPr>
          <w:trHeight w:val="1723"/>
        </w:trPr>
        <w:tc>
          <w:tcPr>
            <w:tcW w:w="765" w:type="dxa"/>
            <w:tcMar>
              <w:top w:w="100" w:type="dxa"/>
              <w:left w:w="100" w:type="dxa"/>
              <w:bottom w:w="100" w:type="dxa"/>
              <w:right w:w="100" w:type="dxa"/>
            </w:tcMar>
          </w:tcPr>
          <w:p w:rsidR="00C61C77" w:rsidRPr="008D78D9" w:rsidRDefault="00C61C77" w:rsidP="00C05204">
            <w:pPr>
              <w:spacing w:line="240" w:lineRule="auto"/>
              <w:ind w:left="100"/>
              <w:jc w:val="center"/>
              <w:rPr>
                <w:rFonts w:ascii="Times New Roman" w:hAnsi="Times New Roman" w:cs="Times New Roman"/>
                <w:sz w:val="24"/>
                <w:szCs w:val="24"/>
                <w:lang w:val="uk-UA"/>
              </w:rPr>
            </w:pPr>
            <w:r w:rsidRPr="008D78D9">
              <w:rPr>
                <w:rFonts w:ascii="Times New Roman" w:hAnsi="Times New Roman" w:cs="Times New Roman"/>
                <w:sz w:val="24"/>
                <w:szCs w:val="24"/>
                <w:lang w:val="uk-UA"/>
              </w:rPr>
              <w:t>1</w:t>
            </w:r>
          </w:p>
        </w:tc>
        <w:tc>
          <w:tcPr>
            <w:tcW w:w="4350" w:type="dxa"/>
            <w:tcMar>
              <w:top w:w="100" w:type="dxa"/>
              <w:left w:w="100" w:type="dxa"/>
              <w:bottom w:w="100" w:type="dxa"/>
              <w:right w:w="100" w:type="dxa"/>
            </w:tcMar>
          </w:tcPr>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(підпункт 3 пункт 47 Особливостей)</w:t>
            </w:r>
          </w:p>
        </w:tc>
        <w:tc>
          <w:tcPr>
            <w:tcW w:w="4503" w:type="dxa"/>
            <w:tcMar>
              <w:top w:w="100" w:type="dxa"/>
              <w:left w:w="100" w:type="dxa"/>
              <w:bottom w:w="100" w:type="dxa"/>
              <w:right w:w="100" w:type="dxa"/>
            </w:tcMar>
          </w:tcPr>
          <w:p w:rsidR="00C61C77" w:rsidRPr="008D78D9" w:rsidRDefault="00C61C77" w:rsidP="00C61C77">
            <w:pPr>
              <w:shd w:val="clear" w:color="auto" w:fill="FFFFFF"/>
              <w:suppressAutoHyphens/>
              <w:spacing w:line="240" w:lineRule="auto"/>
              <w:ind w:leftChars="-1" w:left="31680" w:right="108" w:hangingChars="1" w:firstLine="31680"/>
              <w:jc w:val="both"/>
              <w:textDirection w:val="btLr"/>
              <w:textAlignment w:val="top"/>
              <w:outlineLvl w:val="0"/>
              <w:rPr>
                <w:rFonts w:ascii="Times New Roman" w:hAnsi="Times New Roman" w:cs="Times New Roman"/>
                <w:b/>
                <w:bCs/>
                <w:position w:val="-1"/>
                <w:sz w:val="24"/>
                <w:szCs w:val="24"/>
                <w:lang w:val="uk-UA" w:eastAsia="ru-RU"/>
              </w:rPr>
            </w:pPr>
            <w:r w:rsidRPr="008D78D9">
              <w:rPr>
                <w:rFonts w:ascii="Times New Roman" w:hAnsi="Times New Roman" w:cs="Times New Roman"/>
                <w:position w:val="-1"/>
                <w:sz w:val="24"/>
                <w:szCs w:val="24"/>
                <w:lang w:val="uk-UA" w:eastAsia="ru-RU"/>
              </w:rPr>
              <w:t>Інформаційна довідка</w:t>
            </w:r>
            <w:r w:rsidRPr="008D78D9">
              <w:rPr>
                <w:rFonts w:ascii="Times New Roman" w:hAnsi="Times New Roman" w:cs="Times New Roman"/>
                <w:b/>
                <w:bCs/>
                <w:position w:val="-1"/>
                <w:sz w:val="24"/>
                <w:szCs w:val="24"/>
                <w:lang w:val="uk-UA" w:eastAsia="ru-RU"/>
              </w:rPr>
              <w:t xml:space="preserve"> з Єдиного державного реєстру осіб, які вчинили корупційні або пов’язані з корупцією правопорушення, </w:t>
            </w:r>
            <w:r w:rsidRPr="008D78D9">
              <w:rPr>
                <w:rFonts w:ascii="Times New Roman" w:hAnsi="Times New Roman" w:cs="Times New Roman"/>
                <w:position w:val="-1"/>
                <w:sz w:val="24"/>
                <w:szCs w:val="24"/>
                <w:lang w:val="uk-UA" w:eastAsia="ru-RU"/>
              </w:rPr>
              <w:t>що містить інформацію про те, що відомості про Керівника учасника процедури закупівлі, не внесено до Єдиного державного реєстру осіб, які вчинили корупційні або пов’язані з корупцією правопорушення.</w:t>
            </w:r>
          </w:p>
          <w:p w:rsidR="00C61C77" w:rsidRPr="008D78D9" w:rsidRDefault="00C61C77" w:rsidP="00C61C77">
            <w:pPr>
              <w:suppressAutoHyphens/>
              <w:spacing w:line="256" w:lineRule="auto"/>
              <w:ind w:leftChars="-1" w:left="31680" w:hangingChars="1" w:firstLine="31680"/>
              <w:jc w:val="both"/>
              <w:textDirection w:val="btLr"/>
              <w:textAlignment w:val="top"/>
              <w:outlineLvl w:val="0"/>
              <w:rPr>
                <w:rFonts w:ascii="Times New Roman" w:hAnsi="Times New Roman" w:cs="Times New Roman"/>
                <w:position w:val="-1"/>
                <w:sz w:val="24"/>
                <w:szCs w:val="24"/>
                <w:lang w:val="uk-UA" w:eastAsia="ru-RU"/>
              </w:rPr>
            </w:pPr>
          </w:p>
          <w:p w:rsidR="00C61C77" w:rsidRPr="008D78D9" w:rsidRDefault="00C61C77" w:rsidP="00C61C77">
            <w:pPr>
              <w:suppressAutoHyphens/>
              <w:spacing w:line="256" w:lineRule="auto"/>
              <w:ind w:leftChars="-1" w:left="31680" w:hangingChars="1" w:firstLine="31680"/>
              <w:jc w:val="both"/>
              <w:textDirection w:val="btLr"/>
              <w:textAlignment w:val="top"/>
              <w:outlineLvl w:val="0"/>
              <w:rPr>
                <w:rFonts w:ascii="Times New Roman" w:hAnsi="Times New Roman" w:cs="Times New Roman"/>
                <w:i/>
                <w:iCs/>
                <w:position w:val="-1"/>
                <w:sz w:val="24"/>
                <w:szCs w:val="24"/>
                <w:lang w:val="uk-UA" w:eastAsia="ru-RU"/>
              </w:rPr>
            </w:pPr>
            <w:r w:rsidRPr="008D78D9">
              <w:rPr>
                <w:rFonts w:ascii="Times New Roman" w:hAnsi="Times New Roman" w:cs="Times New Roman"/>
                <w:i/>
                <w:iCs/>
                <w:position w:val="-1"/>
                <w:sz w:val="24"/>
                <w:szCs w:val="24"/>
                <w:lang w:val="uk-UA" w:eastAsia="ru-RU"/>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61C77" w:rsidRPr="008D78D9" w:rsidRDefault="00C61C77" w:rsidP="00C05204">
            <w:pPr>
              <w:spacing w:line="240" w:lineRule="auto"/>
              <w:ind w:right="140"/>
              <w:jc w:val="both"/>
              <w:rPr>
                <w:rFonts w:ascii="Times New Roman" w:hAnsi="Times New Roman" w:cs="Times New Roman"/>
                <w:b/>
                <w:bCs/>
                <w:i/>
                <w:iCs/>
                <w:sz w:val="24"/>
                <w:szCs w:val="24"/>
                <w:lang w:val="uk-UA"/>
              </w:rPr>
            </w:pPr>
            <w:r w:rsidRPr="008D78D9">
              <w:rPr>
                <w:rFonts w:ascii="Times New Roman" w:hAnsi="Times New Roman" w:cs="Times New Roman"/>
                <w:i/>
                <w:iCs/>
                <w:position w:val="-1"/>
                <w:sz w:val="24"/>
                <w:szCs w:val="24"/>
                <w:lang w:val="uk-UA"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61C77" w:rsidRPr="008D78D9">
        <w:trPr>
          <w:trHeight w:val="316"/>
        </w:trPr>
        <w:tc>
          <w:tcPr>
            <w:tcW w:w="765" w:type="dxa"/>
            <w:tcMar>
              <w:top w:w="100" w:type="dxa"/>
              <w:left w:w="100" w:type="dxa"/>
              <w:bottom w:w="100" w:type="dxa"/>
              <w:right w:w="100" w:type="dxa"/>
            </w:tcMar>
          </w:tcPr>
          <w:p w:rsidR="00C61C77" w:rsidRPr="008D78D9" w:rsidRDefault="00C61C77" w:rsidP="00C05204">
            <w:pPr>
              <w:spacing w:line="240" w:lineRule="auto"/>
              <w:ind w:left="100"/>
              <w:jc w:val="center"/>
              <w:rPr>
                <w:rFonts w:ascii="Times New Roman" w:hAnsi="Times New Roman" w:cs="Times New Roman"/>
                <w:sz w:val="24"/>
                <w:szCs w:val="24"/>
                <w:lang w:val="uk-UA"/>
              </w:rPr>
            </w:pPr>
            <w:r w:rsidRPr="008D78D9">
              <w:rPr>
                <w:rFonts w:ascii="Times New Roman" w:hAnsi="Times New Roman" w:cs="Times New Roman"/>
                <w:sz w:val="24"/>
                <w:szCs w:val="24"/>
                <w:lang w:val="uk-UA"/>
              </w:rPr>
              <w:t>2</w:t>
            </w:r>
          </w:p>
        </w:tc>
        <w:tc>
          <w:tcPr>
            <w:tcW w:w="4350" w:type="dxa"/>
            <w:tcMar>
              <w:top w:w="100" w:type="dxa"/>
              <w:left w:w="100" w:type="dxa"/>
              <w:bottom w:w="100" w:type="dxa"/>
              <w:right w:w="100" w:type="dxa"/>
            </w:tcMar>
          </w:tcPr>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(підпункт 5 пункт 47 Особливостей)</w:t>
            </w:r>
          </w:p>
        </w:tc>
        <w:tc>
          <w:tcPr>
            <w:tcW w:w="4503" w:type="dxa"/>
            <w:tcMar>
              <w:top w:w="100" w:type="dxa"/>
              <w:left w:w="100" w:type="dxa"/>
              <w:bottom w:w="100" w:type="dxa"/>
              <w:right w:w="100" w:type="dxa"/>
            </w:tcMar>
          </w:tcPr>
          <w:p w:rsidR="00C61C77" w:rsidRPr="008D78D9" w:rsidRDefault="00C61C77" w:rsidP="00C61C77">
            <w:pPr>
              <w:shd w:val="clear" w:color="auto" w:fill="FFFFFF"/>
              <w:suppressAutoHyphens/>
              <w:spacing w:line="240" w:lineRule="auto"/>
              <w:ind w:leftChars="-1" w:left="31680" w:hangingChars="1" w:firstLine="31680"/>
              <w:jc w:val="both"/>
              <w:textDirection w:val="btLr"/>
              <w:textAlignment w:val="top"/>
              <w:outlineLvl w:val="0"/>
              <w:rPr>
                <w:rFonts w:ascii="Times New Roman" w:hAnsi="Times New Roman" w:cs="Times New Roman"/>
                <w:b/>
                <w:bCs/>
                <w:position w:val="-1"/>
                <w:sz w:val="24"/>
                <w:szCs w:val="24"/>
                <w:lang w:val="uk-UA" w:eastAsia="ru-RU"/>
              </w:rPr>
            </w:pPr>
            <w:r w:rsidRPr="008D78D9">
              <w:rPr>
                <w:rFonts w:ascii="Times New Roman" w:hAnsi="Times New Roman" w:cs="Times New Roman"/>
                <w:position w:val="-1"/>
                <w:sz w:val="24"/>
                <w:szCs w:val="24"/>
                <w:lang w:val="uk-UA" w:eastAsia="ru-RU"/>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D78D9">
              <w:rPr>
                <w:rFonts w:ascii="Times New Roman" w:hAnsi="Times New Roman" w:cs="Times New Roman"/>
                <w:b/>
                <w:bCs/>
                <w:position w:val="-1"/>
                <w:sz w:val="24"/>
                <w:szCs w:val="24"/>
                <w:lang w:val="uk-UA" w:eastAsia="ru-RU"/>
              </w:rPr>
              <w:t>Документ повинен бути не більше тридцятиденної давнини від дати подання документа.</w:t>
            </w:r>
          </w:p>
          <w:p w:rsidR="00C61C77" w:rsidRPr="008D78D9" w:rsidRDefault="00C61C77" w:rsidP="00C05204">
            <w:pPr>
              <w:spacing w:line="240" w:lineRule="auto"/>
              <w:jc w:val="both"/>
              <w:rPr>
                <w:rFonts w:ascii="Times New Roman" w:hAnsi="Times New Roman" w:cs="Times New Roman"/>
                <w:sz w:val="24"/>
                <w:szCs w:val="24"/>
                <w:lang w:val="uk-UA" w:eastAsia="ru-RU"/>
              </w:rPr>
            </w:pPr>
            <w:r w:rsidRPr="008D78D9">
              <w:rPr>
                <w:rFonts w:ascii="Times New Roman" w:hAnsi="Times New Roman" w:cs="Times New Roman"/>
                <w:position w:val="-1"/>
                <w:sz w:val="24"/>
                <w:szCs w:val="24"/>
                <w:lang w:val="uk-UA" w:eastAsia="ru-RU"/>
              </w:rPr>
              <w:t>Додатково Замовник-ЦЗО може перевірити документ на офіційному сайті МВС за посиланням https://vytiah.mvs.gov.ua/app/checkStatus.</w:t>
            </w:r>
          </w:p>
        </w:tc>
      </w:tr>
      <w:tr w:rsidR="00C61C77" w:rsidRPr="008D78D9">
        <w:trPr>
          <w:trHeight w:val="2544"/>
        </w:trPr>
        <w:tc>
          <w:tcPr>
            <w:tcW w:w="765" w:type="dxa"/>
            <w:tcMar>
              <w:top w:w="100" w:type="dxa"/>
              <w:left w:w="100" w:type="dxa"/>
              <w:bottom w:w="100" w:type="dxa"/>
              <w:right w:w="100" w:type="dxa"/>
            </w:tcMar>
          </w:tcPr>
          <w:p w:rsidR="00C61C77" w:rsidRPr="008D78D9" w:rsidRDefault="00C61C77" w:rsidP="00C05204">
            <w:pPr>
              <w:spacing w:line="240" w:lineRule="auto"/>
              <w:ind w:left="100"/>
              <w:jc w:val="center"/>
              <w:rPr>
                <w:rFonts w:ascii="Times New Roman" w:hAnsi="Times New Roman" w:cs="Times New Roman"/>
                <w:sz w:val="24"/>
                <w:szCs w:val="24"/>
                <w:lang w:val="uk-UA"/>
              </w:rPr>
            </w:pPr>
            <w:r w:rsidRPr="008D78D9">
              <w:rPr>
                <w:rFonts w:ascii="Times New Roman" w:hAnsi="Times New Roman" w:cs="Times New Roman"/>
                <w:sz w:val="24"/>
                <w:szCs w:val="24"/>
                <w:lang w:val="uk-UA"/>
              </w:rPr>
              <w:t>3</w:t>
            </w:r>
          </w:p>
        </w:tc>
        <w:tc>
          <w:tcPr>
            <w:tcW w:w="4350" w:type="dxa"/>
            <w:tcMar>
              <w:top w:w="100" w:type="dxa"/>
              <w:left w:w="100" w:type="dxa"/>
              <w:bottom w:w="100" w:type="dxa"/>
              <w:right w:w="100" w:type="dxa"/>
            </w:tcMar>
            <w:vAlign w:val="center"/>
          </w:tcPr>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(підпункт 6 пункт 47 Особливостей)</w:t>
            </w:r>
          </w:p>
        </w:tc>
        <w:tc>
          <w:tcPr>
            <w:tcW w:w="4503" w:type="dxa"/>
            <w:vMerge w:val="restart"/>
            <w:tcMar>
              <w:top w:w="100" w:type="dxa"/>
              <w:left w:w="100" w:type="dxa"/>
              <w:bottom w:w="100" w:type="dxa"/>
              <w:right w:w="100" w:type="dxa"/>
            </w:tcMar>
          </w:tcPr>
          <w:p w:rsidR="00C61C77" w:rsidRPr="008D78D9" w:rsidRDefault="00C61C77" w:rsidP="00C61C77">
            <w:pPr>
              <w:shd w:val="clear" w:color="auto" w:fill="FFFFFF"/>
              <w:suppressAutoHyphens/>
              <w:spacing w:line="240" w:lineRule="auto"/>
              <w:ind w:leftChars="-1" w:left="31680" w:hangingChars="1" w:firstLine="31680"/>
              <w:jc w:val="both"/>
              <w:textDirection w:val="btLr"/>
              <w:textAlignment w:val="top"/>
              <w:outlineLvl w:val="0"/>
              <w:rPr>
                <w:rFonts w:ascii="Times New Roman" w:hAnsi="Times New Roman" w:cs="Times New Roman"/>
                <w:b/>
                <w:bCs/>
                <w:position w:val="-1"/>
                <w:sz w:val="24"/>
                <w:szCs w:val="24"/>
                <w:lang w:val="uk-UA" w:eastAsia="ru-RU"/>
              </w:rPr>
            </w:pPr>
            <w:r w:rsidRPr="008D78D9">
              <w:rPr>
                <w:rFonts w:ascii="Times New Roman" w:hAnsi="Times New Roman" w:cs="Times New Roman"/>
                <w:position w:val="-1"/>
                <w:sz w:val="24"/>
                <w:szCs w:val="24"/>
                <w:lang w:val="uk-UA" w:eastAsia="ru-RU"/>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D78D9">
              <w:rPr>
                <w:rFonts w:ascii="Times New Roman" w:hAnsi="Times New Roman" w:cs="Times New Roman"/>
                <w:b/>
                <w:bCs/>
                <w:position w:val="-1"/>
                <w:sz w:val="24"/>
                <w:szCs w:val="24"/>
                <w:lang w:val="uk-UA" w:eastAsia="ru-RU"/>
              </w:rPr>
              <w:t>Документ повинен бути не більше тридцятиденної давнини від дати подання документа.</w:t>
            </w:r>
          </w:p>
          <w:p w:rsidR="00C61C77" w:rsidRPr="008D78D9" w:rsidRDefault="00C61C77" w:rsidP="00C05204">
            <w:pPr>
              <w:spacing w:line="240" w:lineRule="auto"/>
              <w:jc w:val="both"/>
              <w:rPr>
                <w:rFonts w:ascii="Times New Roman" w:hAnsi="Times New Roman" w:cs="Times New Roman"/>
                <w:sz w:val="24"/>
                <w:szCs w:val="24"/>
                <w:lang w:val="uk-UA" w:eastAsia="ru-RU"/>
              </w:rPr>
            </w:pPr>
            <w:r w:rsidRPr="008D78D9">
              <w:rPr>
                <w:rFonts w:ascii="Times New Roman" w:hAnsi="Times New Roman" w:cs="Times New Roman"/>
                <w:position w:val="-1"/>
                <w:sz w:val="24"/>
                <w:szCs w:val="24"/>
                <w:lang w:val="uk-UA" w:eastAsia="ru-RU"/>
              </w:rPr>
              <w:t>Додатково Замовник-ЦЗО може перевірити документ на офіційному сайті МВС за посиланням https://vytiah.mvs.gov.ua/app/checkStatus.</w:t>
            </w:r>
          </w:p>
        </w:tc>
      </w:tr>
      <w:tr w:rsidR="00C61C77" w:rsidRPr="008D78D9">
        <w:trPr>
          <w:trHeight w:val="862"/>
        </w:trPr>
        <w:tc>
          <w:tcPr>
            <w:tcW w:w="765" w:type="dxa"/>
            <w:tcMar>
              <w:top w:w="100" w:type="dxa"/>
              <w:left w:w="100" w:type="dxa"/>
              <w:bottom w:w="100" w:type="dxa"/>
              <w:right w:w="100" w:type="dxa"/>
            </w:tcMar>
          </w:tcPr>
          <w:p w:rsidR="00C61C77" w:rsidRPr="008D78D9" w:rsidRDefault="00C61C77" w:rsidP="00C05204">
            <w:pPr>
              <w:spacing w:line="240" w:lineRule="auto"/>
              <w:ind w:left="100"/>
              <w:jc w:val="center"/>
              <w:rPr>
                <w:rFonts w:ascii="Times New Roman" w:hAnsi="Times New Roman" w:cs="Times New Roman"/>
                <w:sz w:val="24"/>
                <w:szCs w:val="24"/>
                <w:lang w:val="uk-UA"/>
              </w:rPr>
            </w:pPr>
            <w:r w:rsidRPr="008D78D9">
              <w:rPr>
                <w:rFonts w:ascii="Times New Roman" w:hAnsi="Times New Roman" w:cs="Times New Roman"/>
                <w:sz w:val="24"/>
                <w:szCs w:val="24"/>
                <w:lang w:val="uk-UA"/>
              </w:rPr>
              <w:t>4</w:t>
            </w:r>
          </w:p>
        </w:tc>
        <w:tc>
          <w:tcPr>
            <w:tcW w:w="4350" w:type="dxa"/>
            <w:tcMar>
              <w:top w:w="100" w:type="dxa"/>
              <w:left w:w="100" w:type="dxa"/>
              <w:bottom w:w="100" w:type="dxa"/>
              <w:right w:w="100" w:type="dxa"/>
            </w:tcMar>
          </w:tcPr>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1C77" w:rsidRPr="008D78D9" w:rsidRDefault="00C61C77" w:rsidP="00C05204">
            <w:pPr>
              <w:spacing w:line="240" w:lineRule="auto"/>
              <w:jc w:val="both"/>
              <w:rPr>
                <w:rFonts w:ascii="Times New Roman" w:hAnsi="Times New Roman" w:cs="Times New Roman"/>
                <w:sz w:val="24"/>
                <w:szCs w:val="24"/>
                <w:lang w:val="uk-UA"/>
              </w:rPr>
            </w:pPr>
            <w:r w:rsidRPr="008D78D9">
              <w:rPr>
                <w:rFonts w:ascii="Times New Roman" w:hAnsi="Times New Roman" w:cs="Times New Roman"/>
                <w:b/>
                <w:bCs/>
                <w:sz w:val="24"/>
                <w:szCs w:val="24"/>
                <w:lang w:val="uk-UA" w:eastAsia="ru-RU"/>
              </w:rPr>
              <w:t>(підпункт 12 пункт 47 Особливостей)</w:t>
            </w:r>
          </w:p>
        </w:tc>
        <w:tc>
          <w:tcPr>
            <w:tcW w:w="4503" w:type="dxa"/>
            <w:vMerge/>
            <w:tcMar>
              <w:top w:w="100" w:type="dxa"/>
              <w:left w:w="100" w:type="dxa"/>
              <w:bottom w:w="100" w:type="dxa"/>
              <w:right w:w="100" w:type="dxa"/>
            </w:tcMar>
          </w:tcPr>
          <w:p w:rsidR="00C61C77" w:rsidRPr="008D78D9" w:rsidRDefault="00C61C77" w:rsidP="00C05204">
            <w:pPr>
              <w:spacing w:line="240" w:lineRule="auto"/>
              <w:ind w:left="140" w:right="140"/>
              <w:jc w:val="both"/>
              <w:rPr>
                <w:rFonts w:ascii="Times New Roman" w:hAnsi="Times New Roman" w:cs="Times New Roman"/>
                <w:sz w:val="24"/>
                <w:szCs w:val="24"/>
                <w:lang w:val="uk-UA"/>
              </w:rPr>
            </w:pPr>
          </w:p>
        </w:tc>
      </w:tr>
      <w:tr w:rsidR="00C61C77" w:rsidRPr="00AB64D6">
        <w:trPr>
          <w:trHeight w:val="862"/>
        </w:trPr>
        <w:tc>
          <w:tcPr>
            <w:tcW w:w="765" w:type="dxa"/>
            <w:tcMar>
              <w:top w:w="100" w:type="dxa"/>
              <w:left w:w="100" w:type="dxa"/>
              <w:bottom w:w="100" w:type="dxa"/>
              <w:right w:w="100" w:type="dxa"/>
            </w:tcMar>
          </w:tcPr>
          <w:p w:rsidR="00C61C77" w:rsidRPr="008D78D9" w:rsidRDefault="00C61C77" w:rsidP="00C05204">
            <w:pPr>
              <w:spacing w:line="240" w:lineRule="auto"/>
              <w:ind w:left="100"/>
              <w:jc w:val="center"/>
              <w:rPr>
                <w:rFonts w:ascii="Times New Roman" w:hAnsi="Times New Roman" w:cs="Times New Roman"/>
                <w:sz w:val="24"/>
                <w:szCs w:val="24"/>
                <w:lang w:val="uk-UA"/>
              </w:rPr>
            </w:pPr>
            <w:r w:rsidRPr="008D78D9">
              <w:rPr>
                <w:rFonts w:ascii="Times New Roman" w:hAnsi="Times New Roman" w:cs="Times New Roman"/>
                <w:sz w:val="24"/>
                <w:szCs w:val="24"/>
                <w:lang w:val="uk-UA"/>
              </w:rPr>
              <w:t>5.</w:t>
            </w:r>
          </w:p>
        </w:tc>
        <w:tc>
          <w:tcPr>
            <w:tcW w:w="4350" w:type="dxa"/>
            <w:tcMar>
              <w:top w:w="100" w:type="dxa"/>
              <w:left w:w="100" w:type="dxa"/>
              <w:bottom w:w="100" w:type="dxa"/>
              <w:right w:w="100" w:type="dxa"/>
            </w:tcMar>
          </w:tcPr>
          <w:p w:rsidR="00C61C77" w:rsidRPr="008D78D9" w:rsidRDefault="00C61C77" w:rsidP="00C05204">
            <w:pPr>
              <w:spacing w:line="240" w:lineRule="auto"/>
              <w:jc w:val="both"/>
              <w:rPr>
                <w:rFonts w:ascii="Times New Roman" w:hAnsi="Times New Roman" w:cs="Times New Roman"/>
                <w:b/>
                <w:bCs/>
                <w:sz w:val="24"/>
                <w:szCs w:val="24"/>
                <w:lang w:val="uk-UA"/>
              </w:rPr>
            </w:pPr>
            <w:r w:rsidRPr="008D78D9">
              <w:rPr>
                <w:rFonts w:ascii="Times New Roman" w:hAnsi="Times New Roman" w:cs="Times New Roman"/>
                <w:b/>
                <w:bCs/>
                <w:sz w:val="24"/>
                <w:szCs w:val="24"/>
                <w:lang w:val="uk-UA"/>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61C77" w:rsidRPr="008D78D9" w:rsidRDefault="00C61C77" w:rsidP="00C05204">
            <w:pPr>
              <w:tabs>
                <w:tab w:val="num" w:pos="360"/>
              </w:tabs>
              <w:spacing w:line="240" w:lineRule="auto"/>
              <w:jc w:val="both"/>
              <w:rPr>
                <w:rFonts w:ascii="Times New Roman" w:hAnsi="Times New Roman" w:cs="Times New Roman"/>
                <w:b/>
                <w:bCs/>
                <w:sz w:val="24"/>
                <w:szCs w:val="24"/>
                <w:lang w:val="uk-UA" w:eastAsia="ru-RU"/>
              </w:rPr>
            </w:pPr>
            <w:r w:rsidRPr="008D78D9">
              <w:rPr>
                <w:rFonts w:ascii="Times New Roman" w:hAnsi="Times New Roman" w:cs="Times New Roman"/>
                <w:b/>
                <w:bCs/>
                <w:sz w:val="24"/>
                <w:szCs w:val="24"/>
                <w:lang w:val="uk-UA"/>
              </w:rPr>
              <w:t>(абзац 14 пункт 47 Особливостей)</w:t>
            </w:r>
          </w:p>
        </w:tc>
        <w:tc>
          <w:tcPr>
            <w:tcW w:w="4503" w:type="dxa"/>
            <w:tcMar>
              <w:top w:w="100" w:type="dxa"/>
              <w:left w:w="100" w:type="dxa"/>
              <w:bottom w:w="100" w:type="dxa"/>
              <w:right w:w="100" w:type="dxa"/>
            </w:tcMar>
          </w:tcPr>
          <w:p w:rsidR="00C61C77" w:rsidRPr="008D78D9" w:rsidRDefault="00C61C77" w:rsidP="00C05204">
            <w:pPr>
              <w:spacing w:line="240" w:lineRule="auto"/>
              <w:ind w:left="140" w:right="140"/>
              <w:jc w:val="both"/>
              <w:rPr>
                <w:rFonts w:ascii="Times New Roman" w:hAnsi="Times New Roman" w:cs="Times New Roman"/>
                <w:sz w:val="24"/>
                <w:szCs w:val="24"/>
                <w:lang w:val="uk-UA"/>
              </w:rPr>
            </w:pPr>
            <w:r w:rsidRPr="008D78D9">
              <w:rPr>
                <w:rFonts w:ascii="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3"/>
    </w:tbl>
    <w:p w:rsidR="00C61C77" w:rsidRPr="00990DBA" w:rsidRDefault="00C61C77" w:rsidP="000B491A">
      <w:pPr>
        <w:tabs>
          <w:tab w:val="left" w:pos="426"/>
        </w:tabs>
        <w:spacing w:line="240" w:lineRule="auto"/>
        <w:jc w:val="center"/>
        <w:rPr>
          <w:lang w:val="uk-UA"/>
        </w:rPr>
      </w:pPr>
    </w:p>
    <w:p w:rsidR="00C61C77" w:rsidRPr="00990DBA" w:rsidRDefault="00C61C77" w:rsidP="00267B5F">
      <w:pPr>
        <w:spacing w:line="240" w:lineRule="auto"/>
        <w:jc w:val="both"/>
        <w:rPr>
          <w:rFonts w:ascii="Times New Roman" w:hAnsi="Times New Roman" w:cs="Times New Roman"/>
          <w:lang w:val="uk-UA" w:eastAsia="ar-SA"/>
        </w:rPr>
      </w:pPr>
      <w:r w:rsidRPr="00990DBA">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C61C77" w:rsidRPr="00990DBA" w:rsidRDefault="00C61C77" w:rsidP="00267B5F">
      <w:pPr>
        <w:widowControl w:val="0"/>
        <w:spacing w:line="240" w:lineRule="auto"/>
        <w:ind w:right="113" w:firstLine="567"/>
        <w:jc w:val="both"/>
        <w:rPr>
          <w:rFonts w:ascii="Times New Roman" w:hAnsi="Times New Roman" w:cs="Times New Roman"/>
          <w:b/>
          <w:bCs/>
          <w:lang w:val="uk-UA"/>
        </w:rPr>
      </w:pPr>
      <w:r w:rsidRPr="00990DBA">
        <w:rPr>
          <w:rFonts w:ascii="Times New Roman" w:hAnsi="Times New Roman" w:cs="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C61C77" w:rsidRPr="00990DBA" w:rsidRDefault="00C61C77" w:rsidP="000B491A">
      <w:pPr>
        <w:rPr>
          <w:lang w:val="uk-UA"/>
        </w:rPr>
      </w:pPr>
    </w:p>
    <w:sectPr w:rsidR="00C61C77" w:rsidRPr="00990DBA" w:rsidSect="00631A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002C2"/>
    <w:multiLevelType w:val="hybridMultilevel"/>
    <w:tmpl w:val="953809D2"/>
    <w:lvl w:ilvl="0" w:tplc="DCAEA51C">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1F"/>
    <w:rsid w:val="00022BDA"/>
    <w:rsid w:val="00054714"/>
    <w:rsid w:val="000B491A"/>
    <w:rsid w:val="000C32A8"/>
    <w:rsid w:val="00151E5A"/>
    <w:rsid w:val="00162B39"/>
    <w:rsid w:val="001912E1"/>
    <w:rsid w:val="001A4AC6"/>
    <w:rsid w:val="001C4DB7"/>
    <w:rsid w:val="001F56CF"/>
    <w:rsid w:val="002353A8"/>
    <w:rsid w:val="00244D2E"/>
    <w:rsid w:val="00260394"/>
    <w:rsid w:val="00265BC7"/>
    <w:rsid w:val="00266433"/>
    <w:rsid w:val="00267B5F"/>
    <w:rsid w:val="002A1BC8"/>
    <w:rsid w:val="002B60E4"/>
    <w:rsid w:val="002E0564"/>
    <w:rsid w:val="0030162B"/>
    <w:rsid w:val="00317DCF"/>
    <w:rsid w:val="00335840"/>
    <w:rsid w:val="00355352"/>
    <w:rsid w:val="003714A2"/>
    <w:rsid w:val="00375858"/>
    <w:rsid w:val="003870BB"/>
    <w:rsid w:val="003A4C8C"/>
    <w:rsid w:val="003A6E60"/>
    <w:rsid w:val="003C33A4"/>
    <w:rsid w:val="00404422"/>
    <w:rsid w:val="00410EC7"/>
    <w:rsid w:val="0046120D"/>
    <w:rsid w:val="004A62A8"/>
    <w:rsid w:val="004E1AC8"/>
    <w:rsid w:val="0050492E"/>
    <w:rsid w:val="00515AE8"/>
    <w:rsid w:val="00521F1C"/>
    <w:rsid w:val="005961B8"/>
    <w:rsid w:val="005C01D1"/>
    <w:rsid w:val="005E2819"/>
    <w:rsid w:val="005F7084"/>
    <w:rsid w:val="00631A8D"/>
    <w:rsid w:val="006B6A77"/>
    <w:rsid w:val="006C27B3"/>
    <w:rsid w:val="00726790"/>
    <w:rsid w:val="00736A7A"/>
    <w:rsid w:val="00741E2B"/>
    <w:rsid w:val="00751B1F"/>
    <w:rsid w:val="007525AA"/>
    <w:rsid w:val="007C4AD0"/>
    <w:rsid w:val="00823B56"/>
    <w:rsid w:val="008601CD"/>
    <w:rsid w:val="0086669E"/>
    <w:rsid w:val="008B17A8"/>
    <w:rsid w:val="008B60A6"/>
    <w:rsid w:val="008D78D9"/>
    <w:rsid w:val="008D7AE9"/>
    <w:rsid w:val="008F401C"/>
    <w:rsid w:val="009003BC"/>
    <w:rsid w:val="00941DFF"/>
    <w:rsid w:val="00946D4E"/>
    <w:rsid w:val="0095259F"/>
    <w:rsid w:val="00974BBC"/>
    <w:rsid w:val="00990DBA"/>
    <w:rsid w:val="009A5E51"/>
    <w:rsid w:val="009C5226"/>
    <w:rsid w:val="009F0788"/>
    <w:rsid w:val="00A3031B"/>
    <w:rsid w:val="00A43A6D"/>
    <w:rsid w:val="00A5695C"/>
    <w:rsid w:val="00A70DC0"/>
    <w:rsid w:val="00AB64D6"/>
    <w:rsid w:val="00AD24D6"/>
    <w:rsid w:val="00AE45CF"/>
    <w:rsid w:val="00B14C61"/>
    <w:rsid w:val="00B41192"/>
    <w:rsid w:val="00BD3A00"/>
    <w:rsid w:val="00C05204"/>
    <w:rsid w:val="00C301E6"/>
    <w:rsid w:val="00C61C77"/>
    <w:rsid w:val="00C74D68"/>
    <w:rsid w:val="00CA3DBD"/>
    <w:rsid w:val="00CB398E"/>
    <w:rsid w:val="00CC4DDD"/>
    <w:rsid w:val="00CD71FB"/>
    <w:rsid w:val="00CD7751"/>
    <w:rsid w:val="00D07331"/>
    <w:rsid w:val="00D163B5"/>
    <w:rsid w:val="00D25CBD"/>
    <w:rsid w:val="00D3484E"/>
    <w:rsid w:val="00D4194C"/>
    <w:rsid w:val="00D548A7"/>
    <w:rsid w:val="00D60459"/>
    <w:rsid w:val="00D64C37"/>
    <w:rsid w:val="00D73692"/>
    <w:rsid w:val="00D752DE"/>
    <w:rsid w:val="00DB5E0E"/>
    <w:rsid w:val="00DE3708"/>
    <w:rsid w:val="00E14D50"/>
    <w:rsid w:val="00E63619"/>
    <w:rsid w:val="00EF58E9"/>
    <w:rsid w:val="00F57599"/>
    <w:rsid w:val="00F9696D"/>
    <w:rsid w:val="00FA3D7D"/>
    <w:rsid w:val="00FB3AD9"/>
    <w:rsid w:val="00FC26CE"/>
    <w:rsid w:val="00FD794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1F"/>
    <w:pPr>
      <w:spacing w:line="276" w:lineRule="auto"/>
    </w:pPr>
    <w:rPr>
      <w:rFonts w:ascii="Arial" w:hAnsi="Arial" w:cs="Arial"/>
      <w:color w:val="000000"/>
      <w:u w:color="00000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1B1F"/>
    <w:rPr>
      <w:color w:val="auto"/>
      <w:u w:val="single"/>
    </w:rPr>
  </w:style>
  <w:style w:type="paragraph" w:customStyle="1" w:styleId="1">
    <w:name w:val="Обычный1"/>
    <w:uiPriority w:val="99"/>
    <w:rsid w:val="00751B1F"/>
    <w:rPr>
      <w:rFonts w:ascii="Arial" w:hAnsi="Arial" w:cs="Arial"/>
      <w:color w:val="000000"/>
      <w:sz w:val="24"/>
      <w:szCs w:val="24"/>
      <w:u w:color="000000"/>
      <w:lang w:val="ru-RU"/>
    </w:rPr>
  </w:style>
  <w:style w:type="character" w:customStyle="1" w:styleId="a">
    <w:name w:val="Нет"/>
    <w:uiPriority w:val="99"/>
    <w:rsid w:val="00751B1F"/>
  </w:style>
  <w:style w:type="paragraph" w:styleId="ListParagraph">
    <w:name w:val="List Paragraph"/>
    <w:aliases w:val="AC List 01"/>
    <w:basedOn w:val="Normal"/>
    <w:uiPriority w:val="99"/>
    <w:qFormat/>
    <w:rsid w:val="000B491A"/>
    <w:pPr>
      <w:spacing w:after="160" w:line="259" w:lineRule="auto"/>
      <w:ind w:left="720"/>
    </w:pPr>
    <w:rPr>
      <w:rFonts w:ascii="Calibri" w:hAnsi="Calibri" w:cs="Calibri"/>
      <w:color w:val="auto"/>
      <w:lang w:eastAsia="en-US"/>
    </w:rPr>
  </w:style>
  <w:style w:type="paragraph" w:customStyle="1" w:styleId="10">
    <w:name w:val="Знак Знак10 Знак Знак Знак Знак Знак Знак Знак Знак"/>
    <w:basedOn w:val="Normal"/>
    <w:uiPriority w:val="99"/>
    <w:rsid w:val="00FC26CE"/>
    <w:pPr>
      <w:spacing w:line="240" w:lineRule="auto"/>
    </w:pPr>
    <w:rPr>
      <w:rFonts w:ascii="Verdana"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149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6</Pages>
  <Words>10024</Words>
  <Characters>5715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ocz172</cp:lastModifiedBy>
  <cp:revision>37</cp:revision>
  <cp:lastPrinted>2024-01-18T11:27:00Z</cp:lastPrinted>
  <dcterms:created xsi:type="dcterms:W3CDTF">2022-12-28T14:33:00Z</dcterms:created>
  <dcterms:modified xsi:type="dcterms:W3CDTF">2024-01-18T11:46:00Z</dcterms:modified>
</cp:coreProperties>
</file>