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B441FF" w:rsidRDefault="00AE0FDB" w:rsidP="00977502">
            <w:pPr>
              <w:jc w:val="both"/>
            </w:pP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020E90" w:rsidRDefault="008C254E" w:rsidP="000F3BC2">
            <w:pPr>
              <w:tabs>
                <w:tab w:val="left" w:pos="825"/>
              </w:tabs>
              <w:ind w:firstLine="29"/>
              <w:jc w:val="both"/>
            </w:pPr>
            <w:r>
              <w:t>.</w:t>
            </w:r>
          </w:p>
        </w:tc>
        <w:tc>
          <w:tcPr>
            <w:tcW w:w="2976" w:type="dxa"/>
            <w:shd w:val="clear" w:color="auto" w:fill="auto"/>
            <w:vAlign w:val="bottom"/>
          </w:tcPr>
          <w:p w:rsidR="00AE0FDB" w:rsidRPr="00020E90" w:rsidRDefault="00AE0FDB" w:rsidP="00320B04">
            <w:pPr>
              <w:jc w:val="both"/>
            </w:pPr>
            <w:r w:rsidRPr="00020E90">
              <w:t>202</w:t>
            </w:r>
            <w:r w:rsidR="00320B04" w:rsidRPr="00020E90">
              <w:t>2</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8C254E" w:rsidP="00CD0B4C">
            <w:pPr>
              <w:ind w:left="34"/>
              <w:jc w:val="both"/>
            </w:pPr>
            <w:r>
              <w:t>В.о.у</w:t>
            </w:r>
            <w:r w:rsidR="00AE0FDB" w:rsidRPr="00020E90">
              <w:t>повноважен</w:t>
            </w:r>
            <w:r>
              <w:t>ої</w:t>
            </w:r>
            <w:r w:rsidR="00EB4785" w:rsidRPr="00020E90">
              <w:t xml:space="preserve"> особ</w:t>
            </w:r>
            <w:r>
              <w:t>и</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8C254E" w:rsidP="00EB4785">
            <w:pPr>
              <w:jc w:val="both"/>
            </w:pPr>
            <w:r>
              <w:t>Юлія ІВАНИШИН</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8E327B" w:rsidRPr="00977502" w:rsidRDefault="00687C3F" w:rsidP="008E327B">
      <w:pPr>
        <w:pStyle w:val="31"/>
        <w:tabs>
          <w:tab w:val="clear" w:pos="426"/>
        </w:tabs>
        <w:rPr>
          <w:i/>
          <w:iCs/>
          <w:sz w:val="32"/>
          <w:szCs w:val="32"/>
          <w:lang w:val="ru-RU"/>
        </w:rPr>
      </w:pPr>
      <w:r w:rsidRPr="00020E90">
        <w:rPr>
          <w:i/>
          <w:iCs/>
          <w:sz w:val="32"/>
          <w:szCs w:val="32"/>
        </w:rPr>
        <w:t xml:space="preserve">на закупівлю </w:t>
      </w:r>
      <w:r w:rsidR="009B379E" w:rsidRPr="00020E90">
        <w:rPr>
          <w:i/>
          <w:iCs/>
          <w:sz w:val="32"/>
          <w:szCs w:val="32"/>
        </w:rPr>
        <w:t xml:space="preserve"> </w:t>
      </w:r>
    </w:p>
    <w:p w:rsidR="00C952F4" w:rsidRPr="00C952F4" w:rsidRDefault="00C952F4" w:rsidP="00C952F4">
      <w:pPr>
        <w:pStyle w:val="31"/>
        <w:tabs>
          <w:tab w:val="clear" w:pos="426"/>
        </w:tabs>
        <w:rPr>
          <w:i/>
          <w:iCs/>
          <w:sz w:val="32"/>
          <w:szCs w:val="32"/>
        </w:rPr>
      </w:pPr>
      <w:r w:rsidRPr="00C952F4">
        <w:rPr>
          <w:i/>
          <w:iCs/>
          <w:sz w:val="32"/>
          <w:szCs w:val="32"/>
        </w:rPr>
        <w:t xml:space="preserve">на закупівлю опор дерев’яних просочених для повітряних ліній електропередач </w:t>
      </w:r>
    </w:p>
    <w:p w:rsidR="00C952F4" w:rsidRPr="00C952F4" w:rsidRDefault="00C952F4" w:rsidP="00C952F4">
      <w:pPr>
        <w:pStyle w:val="31"/>
        <w:tabs>
          <w:tab w:val="clear" w:pos="426"/>
        </w:tabs>
        <w:rPr>
          <w:i/>
          <w:iCs/>
          <w:sz w:val="32"/>
          <w:szCs w:val="32"/>
        </w:rPr>
      </w:pPr>
      <w:r w:rsidRPr="00C952F4">
        <w:rPr>
          <w:i/>
          <w:iCs/>
          <w:sz w:val="32"/>
          <w:szCs w:val="32"/>
        </w:rPr>
        <w:t xml:space="preserve"> (код ДК 021:2015 - 31680000-6 - Електричне приладдя та супутні товари </w:t>
      </w:r>
    </w:p>
    <w:p w:rsidR="00C952F4" w:rsidRPr="00C952F4" w:rsidRDefault="00C952F4" w:rsidP="00C952F4">
      <w:pPr>
        <w:pStyle w:val="31"/>
        <w:tabs>
          <w:tab w:val="clear" w:pos="426"/>
        </w:tabs>
        <w:rPr>
          <w:i/>
          <w:iCs/>
          <w:sz w:val="32"/>
          <w:szCs w:val="32"/>
        </w:rPr>
      </w:pPr>
      <w:r w:rsidRPr="00C952F4">
        <w:rPr>
          <w:i/>
          <w:iCs/>
          <w:sz w:val="32"/>
          <w:szCs w:val="32"/>
        </w:rPr>
        <w:t>до електричного обладнання)</w:t>
      </w:r>
    </w:p>
    <w:p w:rsidR="00C952F4" w:rsidRPr="00C952F4" w:rsidRDefault="00C952F4" w:rsidP="00C952F4">
      <w:pPr>
        <w:pStyle w:val="31"/>
        <w:tabs>
          <w:tab w:val="clear" w:pos="426"/>
        </w:tabs>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AB40E6" w:rsidRPr="005C1FDF" w:rsidRDefault="00AB40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977502" w:rsidRDefault="00977502" w:rsidP="008270EF">
      <w:pPr>
        <w:jc w:val="center"/>
        <w:rPr>
          <w:sz w:val="28"/>
          <w:szCs w:val="28"/>
        </w:rPr>
      </w:pPr>
    </w:p>
    <w:p w:rsidR="00977502" w:rsidRDefault="00977502" w:rsidP="008270EF">
      <w:pPr>
        <w:jc w:val="center"/>
        <w:rPr>
          <w:sz w:val="28"/>
          <w:szCs w:val="28"/>
        </w:rPr>
      </w:pPr>
    </w:p>
    <w:p w:rsidR="00977502" w:rsidRPr="005C1FDF" w:rsidRDefault="00977502"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8C254E" w:rsidP="008C254E">
            <w:pPr>
              <w:pStyle w:val="a5"/>
              <w:tabs>
                <w:tab w:val="clear" w:pos="4677"/>
                <w:tab w:val="clear" w:pos="9355"/>
                <w:tab w:val="left" w:pos="1260"/>
                <w:tab w:val="left" w:pos="1980"/>
              </w:tabs>
              <w:jc w:val="both"/>
            </w:pPr>
            <w:r>
              <w:rPr>
                <w:b/>
                <w:color w:val="000000" w:themeColor="text1"/>
              </w:rPr>
              <w:t xml:space="preserve">Юлія ІВАНИШИН, начальник тендерного відділу -В.о. </w:t>
            </w:r>
            <w:r w:rsidR="00A10FC6" w:rsidRPr="005C1FDF">
              <w:rPr>
                <w:color w:val="000000" w:themeColor="text1"/>
              </w:rPr>
              <w:t xml:space="preserve"> уповноважен</w:t>
            </w:r>
            <w:r>
              <w:rPr>
                <w:color w:val="000000" w:themeColor="text1"/>
              </w:rPr>
              <w:t>ої</w:t>
            </w:r>
            <w:r w:rsidR="00A10FC6" w:rsidRPr="005C1FDF">
              <w:rPr>
                <w:color w:val="000000" w:themeColor="text1"/>
              </w:rPr>
              <w:t xml:space="preserve"> особ</w:t>
            </w:r>
            <w:r>
              <w:rPr>
                <w:color w:val="000000" w:themeColor="text1"/>
              </w:rPr>
              <w:t>и</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C952F4" w:rsidRPr="00C952F4" w:rsidRDefault="00C952F4" w:rsidP="00C952F4">
            <w:pPr>
              <w:pStyle w:val="31"/>
              <w:tabs>
                <w:tab w:val="clear" w:pos="426"/>
              </w:tabs>
              <w:rPr>
                <w:i/>
                <w:iCs/>
                <w:sz w:val="32"/>
                <w:szCs w:val="32"/>
              </w:rPr>
            </w:pPr>
            <w:r w:rsidRPr="00C952F4">
              <w:rPr>
                <w:i/>
                <w:iCs/>
                <w:sz w:val="32"/>
                <w:szCs w:val="32"/>
              </w:rPr>
              <w:t xml:space="preserve">опор дерев’яних просочених для повітряних ліній електропередач </w:t>
            </w:r>
          </w:p>
          <w:p w:rsidR="00C952F4" w:rsidRPr="00C952F4" w:rsidRDefault="00C952F4" w:rsidP="00C952F4">
            <w:pPr>
              <w:pStyle w:val="31"/>
              <w:tabs>
                <w:tab w:val="clear" w:pos="426"/>
              </w:tabs>
              <w:rPr>
                <w:i/>
                <w:iCs/>
                <w:sz w:val="32"/>
                <w:szCs w:val="32"/>
              </w:rPr>
            </w:pPr>
            <w:r w:rsidRPr="00C952F4">
              <w:rPr>
                <w:i/>
                <w:iCs/>
                <w:sz w:val="32"/>
                <w:szCs w:val="32"/>
              </w:rPr>
              <w:t xml:space="preserve"> (код ДК 021:2015 - 31680000-6 - Електричне приладдя та супутні товари </w:t>
            </w:r>
          </w:p>
          <w:p w:rsidR="00C952F4" w:rsidRPr="00C952F4" w:rsidRDefault="00C952F4" w:rsidP="00C952F4">
            <w:pPr>
              <w:pStyle w:val="31"/>
              <w:tabs>
                <w:tab w:val="clear" w:pos="426"/>
              </w:tabs>
              <w:rPr>
                <w:i/>
                <w:iCs/>
                <w:sz w:val="32"/>
                <w:szCs w:val="32"/>
              </w:rPr>
            </w:pPr>
            <w:r w:rsidRPr="00C952F4">
              <w:rPr>
                <w:i/>
                <w:iCs/>
                <w:sz w:val="32"/>
                <w:szCs w:val="32"/>
              </w:rPr>
              <w:t>до електричного обладнання)</w:t>
            </w: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C952F4" w:rsidP="00A10FC6">
            <w:pPr>
              <w:pStyle w:val="a5"/>
              <w:tabs>
                <w:tab w:val="clear" w:pos="4677"/>
                <w:tab w:val="clear" w:pos="9355"/>
                <w:tab w:val="left" w:pos="1260"/>
                <w:tab w:val="left" w:pos="1980"/>
              </w:tabs>
              <w:rPr>
                <w:iCs/>
              </w:rPr>
            </w:pPr>
            <w:r>
              <w:rPr>
                <w:iCs/>
              </w:rPr>
              <w:t>2100</w:t>
            </w:r>
            <w:r w:rsidR="00977502">
              <w:rPr>
                <w:iCs/>
              </w:rPr>
              <w:t>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10FC6" w:rsidRPr="005C1FDF" w:rsidRDefault="00A10FC6" w:rsidP="00A10FC6">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A10FC6" w:rsidRPr="005C1FDF" w:rsidRDefault="00A10FC6" w:rsidP="00A10FC6">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A10FC6" w:rsidRPr="005C1FDF" w:rsidRDefault="00A10FC6" w:rsidP="00A10FC6">
            <w:pPr>
              <w:pStyle w:val="HTML"/>
              <w:rPr>
                <w:rFonts w:ascii="Times New Roman" w:hAnsi="Times New Roman"/>
                <w:sz w:val="24"/>
              </w:rPr>
            </w:pPr>
            <w:r w:rsidRPr="005C1FDF">
              <w:rPr>
                <w:rFonts w:ascii="Times New Roman" w:hAnsi="Times New Roman"/>
                <w:sz w:val="24"/>
              </w:rPr>
              <w:t>Папка № 8 - Інші документи;</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lastRenderedPageBreak/>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1FDF">
              <w:lastRenderedPageBreak/>
              <w:t>(документи)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w:t>
            </w:r>
            <w:r w:rsidRPr="005C1FDF">
              <w:rPr>
                <w:rFonts w:ascii="Times New Roman" w:hAnsi="Times New Roman"/>
                <w:sz w:val="24"/>
              </w:rPr>
              <w:lastRenderedPageBreak/>
              <w:t>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lastRenderedPageBreak/>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625E8F" w:rsidRPr="00A22B68" w:rsidRDefault="00625E8F" w:rsidP="00625E8F">
            <w:pPr>
              <w:widowControl w:val="0"/>
              <w:pBdr>
                <w:top w:val="nil"/>
                <w:left w:val="nil"/>
                <w:bottom w:val="nil"/>
                <w:right w:val="nil"/>
                <w:between w:val="nil"/>
              </w:pBdr>
              <w:jc w:val="both"/>
            </w:pPr>
            <w:r w:rsidRPr="00A22B68">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A22B68">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w:t>
            </w:r>
            <w:r w:rsidRPr="00A22B68">
              <w:rPr>
                <w:lang w:eastAsia="uk-UA"/>
              </w:rPr>
              <w:lastRenderedPageBreak/>
              <w:t xml:space="preserve">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A22B68">
              <w:t>враховані норми (учасник процедури закупівлі ознайомлений з даними нормами і не порушує їх):</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625E8F" w:rsidRPr="00183E39" w:rsidRDefault="00625E8F" w:rsidP="00625E8F">
            <w:pPr>
              <w:pBdr>
                <w:top w:val="nil"/>
                <w:left w:val="nil"/>
                <w:bottom w:val="nil"/>
                <w:right w:val="nil"/>
                <w:between w:val="nil"/>
              </w:pBdr>
              <w:shd w:val="clear" w:color="auto" w:fill="FFFFFF"/>
              <w:jc w:val="both"/>
            </w:pP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A10FC6" w:rsidRPr="005C1FDF" w:rsidTr="00A76FCC">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A10FC6" w:rsidRPr="005C1FDF" w:rsidRDefault="00A10FC6" w:rsidP="00A10FC6">
            <w:pPr>
              <w:jc w:val="both"/>
              <w:rPr>
                <w:shd w:val="clear" w:color="auto" w:fill="FFFFFF"/>
              </w:rPr>
            </w:pPr>
            <w:r w:rsidRPr="005C1FDF">
              <w:rPr>
                <w:shd w:val="clear" w:color="auto" w:fill="FFFFFF"/>
              </w:rPr>
              <w:t>Не вимагається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Забезпечення тендерної пропозиції повертається учаснику в разі: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укладення договору про закупівлю з учасником, який став переможцем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відкликання тендерної пропозиції до закінчення строку її подання;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закінчення тендеру в разі неукладення договору про закупівлю з жодним з учасників, які подали тендерні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u w:val="single"/>
              </w:rPr>
            </w:pPr>
            <w:r w:rsidRPr="005C1FDF">
              <w:rPr>
                <w:rFonts w:ascii="Times New Roman" w:hAnsi="Times New Roman"/>
                <w:sz w:val="24"/>
                <w:lang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w:t>
            </w:r>
            <w:r w:rsidRPr="005C1FDF">
              <w:rPr>
                <w:rFonts w:ascii="Times New Roman" w:hAnsi="Times New Roman"/>
                <w:sz w:val="24"/>
                <w:lang w:eastAsia="uk-UA"/>
              </w:rPr>
              <w:lastRenderedPageBreak/>
              <w:t>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1" w:anchor="n1454" w:history="1">
              <w:r w:rsidRPr="005C1FDF">
                <w:rPr>
                  <w:rFonts w:ascii="Times New Roman" w:hAnsi="Times New Roman"/>
                  <w:sz w:val="24"/>
                  <w:lang w:eastAsia="uk-UA"/>
                </w:rPr>
                <w:t>частиною 4</w:t>
              </w:r>
            </w:hyperlink>
            <w:r w:rsidRPr="005C1FDF">
              <w:rPr>
                <w:rFonts w:ascii="Times New Roman" w:hAnsi="Times New Roman"/>
                <w:sz w:val="24"/>
                <w:lang w:eastAsia="uk-UA"/>
              </w:rPr>
              <w:t xml:space="preserve"> статті 25 Закону.</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585" w:type="dxa"/>
            <w:gridSpan w:val="2"/>
          </w:tcPr>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Забезпечення тендерної пропозиції не повертається у разі: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непідписання договору про закупівлю учасником, який став переможцем тендеру;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ненадання переможцем процедури закупівлі у строк, визначений </w:t>
            </w:r>
            <w:hyperlink r:id="rId12" w:anchor="n1282" w:history="1">
              <w:r w:rsidRPr="005C1FDF">
                <w:rPr>
                  <w:rFonts w:ascii="Times New Roman" w:hAnsi="Times New Roman"/>
                  <w:sz w:val="24"/>
                </w:rPr>
                <w:t xml:space="preserve">частиною 6 </w:t>
              </w:r>
            </w:hyperlink>
            <w:r w:rsidRPr="005C1FDF">
              <w:rPr>
                <w:rFonts w:ascii="Times New Roman" w:hAnsi="Times New Roman"/>
                <w:sz w:val="24"/>
              </w:rPr>
              <w:t>статті 17 Закону, документів, що підтверджують відсутність підстав, установлених </w:t>
            </w:r>
            <w:hyperlink r:id="rId13" w:anchor="n1261" w:history="1">
              <w:r w:rsidRPr="005C1FDF">
                <w:rPr>
                  <w:rFonts w:ascii="Times New Roman" w:hAnsi="Times New Roman"/>
                  <w:sz w:val="24"/>
                </w:rPr>
                <w:t>статтею 17</w:t>
              </w:r>
            </w:hyperlink>
            <w:r w:rsidRPr="005C1FDF">
              <w:rPr>
                <w:rFonts w:ascii="Times New Roman" w:hAnsi="Times New Roman"/>
                <w:sz w:val="24"/>
              </w:rPr>
              <w:t xml:space="preserve"> Закону;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w:t>
            </w:r>
            <w:r w:rsidRPr="005C1FDF">
              <w:rPr>
                <w:rFonts w:ascii="Times New Roman" w:hAnsi="Times New Roman"/>
                <w:sz w:val="24"/>
              </w:rPr>
              <w:lastRenderedPageBreak/>
              <w:t>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lastRenderedPageBreak/>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t xml:space="preserve"> </w:t>
            </w: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 (</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xml:space="preserve">,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w:t>
            </w:r>
            <w:r w:rsidRPr="002F01BE">
              <w:rPr>
                <w:lang w:eastAsia="uk-UA"/>
              </w:rPr>
              <w:lastRenderedPageBreak/>
              <w:t>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A2545">
              <w:t>інші документи виробників предмету закупівлі, що підтверджують технічні параметри предмета закупівлі;</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C952F4" w:rsidRDefault="00C952F4" w:rsidP="00C952F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паспорт/сертифікат якості,</w:t>
            </w:r>
          </w:p>
          <w:p w:rsidR="00C952F4" w:rsidRPr="002F01BE" w:rsidRDefault="00C952F4" w:rsidP="00C952F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паспорт безпеки</w:t>
            </w:r>
            <w:r>
              <w:rPr>
                <w:rFonts w:ascii="Times New Roman" w:hAnsi="Times New Roman"/>
                <w:sz w:val="24"/>
              </w:rPr>
              <w:t>/</w:t>
            </w:r>
            <w:r w:rsidRPr="002F01BE">
              <w:rPr>
                <w:rFonts w:ascii="Times New Roman" w:hAnsi="Times New Roman"/>
                <w:sz w:val="24"/>
              </w:rPr>
              <w:t xml:space="preserve"> технічні умови  стосовно речовини для просочення деревини.</w:t>
            </w:r>
          </w:p>
          <w:p w:rsidR="00C952F4" w:rsidRPr="002F01BE" w:rsidRDefault="0082721D" w:rsidP="0057755D">
            <w:pPr>
              <w:pStyle w:val="HTML"/>
              <w:tabs>
                <w:tab w:val="clear" w:pos="916"/>
                <w:tab w:val="clear" w:pos="1832"/>
                <w:tab w:val="num" w:pos="1352"/>
                <w:tab w:val="num" w:pos="2911"/>
              </w:tabs>
              <w:jc w:val="both"/>
              <w:rPr>
                <w:rFonts w:ascii="Times New Roman" w:hAnsi="Times New Roman"/>
                <w:sz w:val="24"/>
                <w:lang w:eastAsia="uk-UA"/>
              </w:rPr>
            </w:pPr>
            <w:r w:rsidRPr="00634649">
              <w:sym w:font="Symbol" w:char="F02D"/>
            </w:r>
            <w:r w:rsidRPr="00634649">
              <w:t xml:space="preserve"> </w:t>
            </w:r>
            <w:r w:rsidRPr="0082721D">
              <w:rPr>
                <w:rFonts w:ascii="Times New Roman" w:hAnsi="Times New Roman"/>
                <w:sz w:val="24"/>
                <w:lang w:eastAsia="uk-UA"/>
              </w:rPr>
              <w:t>у разі якщо постачальник продукції не є виробником продукції, наявність гарантійного листа, завіреного печаткою та підписом уповноваженої посадової особи підприємства - виробника з підтвердженням справжності запропонованої продукції в обсягах пропозиції на торги від конкретного учасника торгів і надання гарантійних зобов'язань замовнику про постачання заявлених обсягів у зазначені терміни - обов'язково.</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C952F4" w:rsidRPr="002F01BE" w:rsidRDefault="00C952F4" w:rsidP="00C952F4">
            <w:pPr>
              <w:jc w:val="both"/>
            </w:pPr>
            <w:r w:rsidRPr="002F01BE">
              <w:t>Учасник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C952F4" w:rsidRPr="002F01BE" w:rsidRDefault="00C952F4" w:rsidP="00C952F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F01BE">
              <w:rPr>
                <w:rFonts w:ascii="Times New Roman" w:hAnsi="Times New Roman"/>
                <w:sz w:val="24"/>
              </w:rPr>
              <w:t>вимогам діючого санітарного законодавства України:</w:t>
            </w:r>
          </w:p>
          <w:p w:rsidR="00C952F4" w:rsidRDefault="00C952F4" w:rsidP="00C952F4">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lang w:eastAsia="uk-UA"/>
              </w:rPr>
              <w:t xml:space="preserve">* </w:t>
            </w:r>
            <w:r w:rsidRPr="002F01BE">
              <w:rPr>
                <w:rFonts w:ascii="Times New Roman" w:hAnsi="Times New Roman"/>
                <w:sz w:val="24"/>
              </w:rPr>
              <w:t>висновки/протоколи санітарно-епідеміологічної експертизи, видані уповноваженими державними органами, стосовно відповідності  речовини для просочення деревини, вимогам діючого санітарного законодавства України</w:t>
            </w:r>
            <w:r>
              <w:rPr>
                <w:rFonts w:ascii="Times New Roman" w:hAnsi="Times New Roman"/>
                <w:sz w:val="24"/>
              </w:rPr>
              <w:t xml:space="preserve"> або </w:t>
            </w:r>
            <w:r w:rsidRPr="00634649">
              <w:t xml:space="preserve"> </w:t>
            </w:r>
            <w:r w:rsidRPr="006722BF">
              <w:rPr>
                <w:rFonts w:ascii="Times New Roman" w:hAnsi="Times New Roman"/>
                <w:sz w:val="24"/>
              </w:rPr>
              <w:t>сертифікат з екологічної безпеки ISO14001</w:t>
            </w:r>
          </w:p>
          <w:p w:rsidR="00C952F4" w:rsidRDefault="00C952F4" w:rsidP="00C952F4">
            <w:r>
              <w:t>-</w:t>
            </w:r>
            <w:r w:rsidRPr="00634649">
              <w:t xml:space="preserve">сертифікат УкрСЕПРО на відповідність продукції ГОСТ 9463-88, ГОСТ 20022.6-93, ГОСТ 20022.0-93. </w:t>
            </w:r>
          </w:p>
          <w:p w:rsidR="00C952F4" w:rsidRPr="006722BF" w:rsidRDefault="00C952F4" w:rsidP="00C952F4">
            <w:pPr>
              <w:pStyle w:val="HTML"/>
              <w:tabs>
                <w:tab w:val="clear" w:pos="916"/>
                <w:tab w:val="clear" w:pos="1832"/>
                <w:tab w:val="num" w:pos="1352"/>
                <w:tab w:val="num" w:pos="2911"/>
              </w:tabs>
              <w:jc w:val="both"/>
              <w:rPr>
                <w:rFonts w:ascii="Times New Roman" w:hAnsi="Times New Roman"/>
                <w:sz w:val="24"/>
              </w:rPr>
            </w:pPr>
          </w:p>
          <w:p w:rsidR="0057755D" w:rsidRPr="002F01BE" w:rsidRDefault="0057755D" w:rsidP="008C254E"/>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C1FDF">
              <w:lastRenderedPageBreak/>
              <w:t>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w:t>
            </w:r>
            <w:r w:rsidRPr="003D524A">
              <w:rPr>
                <w:rFonts w:ascii="Times New Roman" w:hAnsi="Times New Roman"/>
                <w:sz w:val="24"/>
                <w:szCs w:val="24"/>
                <w:lang w:eastAsia="ru-RU"/>
              </w:rPr>
              <w:lastRenderedPageBreak/>
              <w:t>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5E8F" w:rsidRPr="005C1FDF" w:rsidTr="00C27B17">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625E8F" w:rsidRPr="005C1FDF" w:rsidRDefault="00625E8F" w:rsidP="00625E8F">
            <w:pPr>
              <w:pStyle w:val="a5"/>
              <w:tabs>
                <w:tab w:val="clear" w:pos="4677"/>
                <w:tab w:val="clear" w:pos="9355"/>
                <w:tab w:val="left" w:pos="1260"/>
                <w:tab w:val="left" w:pos="1980"/>
              </w:tabs>
            </w:pPr>
          </w:p>
        </w:tc>
        <w:tc>
          <w:tcPr>
            <w:tcW w:w="7585" w:type="dxa"/>
            <w:gridSpan w:val="2"/>
            <w:vAlign w:val="center"/>
          </w:tcPr>
          <w:p w:rsidR="00625E8F" w:rsidRPr="005C1FDF" w:rsidRDefault="00625E8F" w:rsidP="00625E8F">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625E8F" w:rsidRPr="005C1FDF" w:rsidRDefault="00625E8F" w:rsidP="00625E8F">
            <w:pPr>
              <w:pStyle w:val="a5"/>
              <w:tabs>
                <w:tab w:val="clear" w:pos="4677"/>
                <w:tab w:val="clear" w:pos="9355"/>
                <w:tab w:val="left" w:pos="1260"/>
                <w:tab w:val="left" w:pos="1980"/>
              </w:tabs>
            </w:pPr>
            <w:r w:rsidRPr="005C1FDF">
              <w:t>Довідка повинна супроводжуватись: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5E8F" w:rsidRPr="005C1FDF" w:rsidRDefault="00625E8F" w:rsidP="00625E8F">
            <w:pPr>
              <w:pStyle w:val="a5"/>
              <w:tabs>
                <w:tab w:val="left" w:pos="1260"/>
                <w:tab w:val="left" w:pos="1980"/>
              </w:tabs>
              <w:jc w:val="both"/>
              <w:rPr>
                <w:b/>
              </w:rPr>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C952F4" w:rsidP="00625E8F">
            <w:pPr>
              <w:widowControl w:val="0"/>
              <w:ind w:left="40" w:right="120"/>
              <w:jc w:val="both"/>
              <w:rPr>
                <w:b/>
                <w:color w:val="000000" w:themeColor="text1"/>
              </w:rPr>
            </w:pPr>
            <w:r>
              <w:rPr>
                <w:b/>
                <w:color w:val="000000" w:themeColor="text1"/>
              </w:rPr>
              <w:t>07.12</w:t>
            </w:r>
            <w:r w:rsidR="00625E8F" w:rsidRPr="000E4457">
              <w:rPr>
                <w:b/>
                <w:color w:val="000000" w:themeColor="text1"/>
              </w:rPr>
              <w:t xml:space="preserve">.2022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history="1">
              <w:r w:rsidRPr="005C1FDF">
                <w:t>статті 16</w:t>
              </w:r>
            </w:hyperlink>
            <w:r w:rsidRPr="005C1FDF">
              <w:t xml:space="preserve"> Закону, і документи, що підтверджують відсутність підстав, установлених </w:t>
            </w:r>
            <w:hyperlink r:id="rId17" w:anchor="n1261" w:history="1">
              <w:r w:rsidRPr="005C1FDF">
                <w:t>статтею 17</w:t>
              </w:r>
            </w:hyperlink>
            <w:r w:rsidRPr="005C1FDF">
              <w:t xml:space="preserve"> Закону. Замовник, орган оскарження та центральний орган виконавчої </w:t>
            </w:r>
            <w:r w:rsidRPr="005C1FDF">
              <w:lastRenderedPageBreak/>
              <w:t>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w:t>
            </w:r>
            <w:r w:rsidRPr="005C1FDF">
              <w:rPr>
                <w:b/>
                <w:i/>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625E8F">
            <w:pPr>
              <w:widowControl w:val="0"/>
              <w:numPr>
                <w:ilvl w:val="0"/>
                <w:numId w:val="15"/>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3" w:name="n487"/>
            <w:bookmarkEnd w:id="3"/>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5C1FDF">
              <w:lastRenderedPageBreak/>
              <w:t xml:space="preserve">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625E8F" w:rsidRDefault="00625E8F" w:rsidP="00625E8F">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625E8F" w:rsidRPr="00916E8F" w:rsidRDefault="00625E8F" w:rsidP="00625E8F">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625E8F" w:rsidRPr="00916E8F" w:rsidRDefault="00625E8F" w:rsidP="00625E8F">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25E8F" w:rsidRPr="00916E8F" w:rsidRDefault="00625E8F" w:rsidP="00625E8F">
            <w:pPr>
              <w:shd w:val="clear" w:color="auto" w:fill="FFFFFF" w:themeFill="background1"/>
              <w:ind w:left="142" w:right="108"/>
              <w:jc w:val="both"/>
            </w:pPr>
            <w:r w:rsidRPr="00916E8F">
              <w:lastRenderedPageBreak/>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625E8F" w:rsidRPr="00916E8F" w:rsidRDefault="00625E8F" w:rsidP="00625E8F">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8" w:history="1">
              <w:r w:rsidRPr="00916E8F">
                <w:t>https://vytiah.mvs.gov.ua/app/landing</w:t>
              </w:r>
            </w:hyperlink>
            <w:r w:rsidRPr="00916E8F">
              <w:t>.</w:t>
            </w:r>
          </w:p>
          <w:p w:rsidR="00625E8F" w:rsidRPr="00916E8F" w:rsidRDefault="00625E8F" w:rsidP="00625E8F">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9" w:history="1">
              <w:r w:rsidRPr="00916E8F">
                <w:t>https://vytiah.mvs.gov.ua/app/checkStatus</w:t>
              </w:r>
            </w:hyperlink>
            <w:r w:rsidRPr="00916E8F">
              <w:t>.</w:t>
            </w:r>
          </w:p>
          <w:p w:rsidR="00625E8F" w:rsidRPr="00916E8F" w:rsidRDefault="00625E8F" w:rsidP="00625E8F">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625E8F" w:rsidRPr="00916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Pr="00916E8F" w:rsidRDefault="00625E8F" w:rsidP="00625E8F">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5E8F" w:rsidRPr="00916E8F" w:rsidRDefault="00625E8F" w:rsidP="00625E8F">
            <w:pPr>
              <w:shd w:val="clear" w:color="auto" w:fill="FFFFFF" w:themeFill="background1"/>
              <w:spacing w:line="0" w:lineRule="atLeast"/>
              <w:ind w:left="142" w:right="108"/>
              <w:jc w:val="both"/>
            </w:pPr>
            <w:r w:rsidRPr="00916E8F">
              <w:t>або</w:t>
            </w:r>
          </w:p>
          <w:p w:rsidR="00625E8F" w:rsidRPr="00916E8F" w:rsidRDefault="00625E8F" w:rsidP="00625E8F">
            <w:pPr>
              <w:shd w:val="clear" w:color="auto" w:fill="FFFFFF" w:themeFill="background1"/>
              <w:ind w:left="142" w:right="108"/>
              <w:jc w:val="both"/>
            </w:pPr>
            <w:r w:rsidRPr="00916E8F">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w:t>
            </w:r>
            <w:r w:rsidRPr="00916E8F">
              <w:lastRenderedPageBreak/>
              <w:t>підтверджують, що переможець сплатив або зобов’язався сплатити відповідні зобов’язання та відшкодування завданих збитків.</w:t>
            </w:r>
          </w:p>
          <w:p w:rsidR="00625E8F" w:rsidRPr="00916E8F" w:rsidRDefault="00625E8F" w:rsidP="00625E8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25E8F" w:rsidRDefault="00625E8F" w:rsidP="00625E8F">
            <w:pPr>
              <w:suppressAutoHyphens/>
              <w:jc w:val="both"/>
            </w:pPr>
          </w:p>
          <w:p w:rsidR="00625E8F" w:rsidRDefault="00625E8F" w:rsidP="00625E8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25E8F" w:rsidRPr="00916E8F" w:rsidRDefault="00625E8F" w:rsidP="00625E8F">
            <w:pPr>
              <w:suppressAutoHyphens/>
              <w:jc w:val="both"/>
            </w:pPr>
            <w:r w:rsidRPr="00916E8F">
              <w:t xml:space="preserve">Документи, що підтверджують відсутність підстав, визначених </w:t>
            </w:r>
            <w:hyperlink r:id="rId20" w:anchor="n1264" w:history="1">
              <w:r w:rsidRPr="00916E8F">
                <w:t xml:space="preserve">пунктами </w:t>
              </w:r>
            </w:hyperlink>
            <w:r w:rsidRPr="00916E8F">
              <w:t xml:space="preserve"> 3, </w:t>
            </w:r>
            <w:hyperlink r:id="rId21" w:anchor="n1267" w:history="1">
              <w:r w:rsidRPr="00916E8F">
                <w:t>5</w:t>
              </w:r>
            </w:hyperlink>
            <w:r w:rsidRPr="00916E8F">
              <w:t>, </w:t>
            </w:r>
            <w:hyperlink r:id="rId22" w:anchor="n1268" w:history="1">
              <w:r w:rsidRPr="00916E8F">
                <w:t>6</w:t>
              </w:r>
            </w:hyperlink>
            <w:r w:rsidRPr="00916E8F">
              <w:t>,</w:t>
            </w:r>
            <w:r>
              <w:t xml:space="preserve"> і 12 </w:t>
            </w:r>
            <w:hyperlink r:id="rId23" w:anchor="n1275" w:history="1">
              <w:r w:rsidRPr="00916E8F">
                <w:t> частини 1</w:t>
              </w:r>
            </w:hyperlink>
            <w:r w:rsidRPr="00916E8F">
              <w:t> та </w:t>
            </w:r>
            <w:hyperlink r:id="rId24" w:anchor="n1276" w:history="1">
              <w:r w:rsidRPr="00916E8F">
                <w:t>частиною 2</w:t>
              </w:r>
            </w:hyperlink>
            <w:r w:rsidRPr="00916E8F">
              <w:t xml:space="preserve"> статті 17 Закону, вважатимуться не наданими переможцем процедури закупівлі, у разі :</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625E8F" w:rsidRPr="00B53D64" w:rsidRDefault="00625E8F" w:rsidP="00625E8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5" w:anchor="n1261" w:history="1">
              <w:r w:rsidRPr="00B53D64">
                <w:t>статтею 17</w:t>
              </w:r>
            </w:hyperlink>
            <w:r w:rsidRPr="00B53D64">
              <w:t xml:space="preserve"> Закону.</w:t>
            </w:r>
          </w:p>
          <w:p w:rsidR="00625E8F" w:rsidRPr="00B53D64" w:rsidRDefault="00625E8F" w:rsidP="00625E8F">
            <w:pPr>
              <w:pStyle w:val="a5"/>
              <w:tabs>
                <w:tab w:val="clear" w:pos="4677"/>
                <w:tab w:val="clear" w:pos="9355"/>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625E8F" w:rsidRPr="00B53D64" w:rsidRDefault="00625E8F" w:rsidP="00625E8F">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625E8F" w:rsidRPr="00B53D64" w:rsidRDefault="00625E8F" w:rsidP="00625E8F">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25E8F" w:rsidRPr="00B53D64" w:rsidRDefault="00625E8F" w:rsidP="00625E8F">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625E8F" w:rsidRPr="00B53D64" w:rsidRDefault="00625E8F" w:rsidP="00625E8F">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rPr>
                <w:rFonts w:eastAsia="Calibri"/>
              </w:rPr>
            </w:pPr>
            <w:r w:rsidRPr="00B53D64">
              <w:rPr>
                <w:rFonts w:eastAsia="Calibri"/>
              </w:rPr>
              <w:lastRenderedPageBreak/>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625E8F" w:rsidRPr="00B53D64" w:rsidRDefault="00625E8F" w:rsidP="00625E8F">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625E8F" w:rsidRPr="00B53D64" w:rsidRDefault="00625E8F" w:rsidP="00625E8F">
            <w:pPr>
              <w:spacing w:line="259" w:lineRule="auto"/>
              <w:jc w:val="both"/>
              <w:rPr>
                <w:rFonts w:eastAsia="Calibri"/>
              </w:rPr>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625E8F" w:rsidRPr="00B53D64" w:rsidRDefault="00625E8F" w:rsidP="00625E8F">
            <w:pPr>
              <w:spacing w:line="259" w:lineRule="auto"/>
              <w:jc w:val="both"/>
              <w:rPr>
                <w:rFonts w:eastAsia="Calibri"/>
              </w:rPr>
            </w:pPr>
          </w:p>
          <w:p w:rsidR="00625E8F" w:rsidRPr="00B53D64" w:rsidRDefault="00625E8F" w:rsidP="00625E8F">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lastRenderedPageBreak/>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625E8F" w:rsidRPr="00B53D64" w:rsidRDefault="00625E8F" w:rsidP="00625E8F">
            <w:pPr>
              <w:pStyle w:val="HTML"/>
              <w:tabs>
                <w:tab w:val="clear" w:pos="916"/>
                <w:tab w:val="clear" w:pos="1832"/>
                <w:tab w:val="num" w:pos="1260"/>
              </w:tabs>
              <w:jc w:val="both"/>
              <w:rPr>
                <w:rFonts w:ascii="Times New Roman" w:hAnsi="Times New Roman"/>
                <w:color w:val="00B0F0"/>
                <w:sz w:val="24"/>
              </w:rPr>
            </w:pPr>
          </w:p>
          <w:p w:rsidR="00625E8F" w:rsidRPr="00B53D64" w:rsidRDefault="00625E8F" w:rsidP="00625E8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625E8F" w:rsidRPr="00B53D64" w:rsidRDefault="00625E8F" w:rsidP="00625E8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w:t>
            </w:r>
            <w:r w:rsidRPr="00B53D64">
              <w:rPr>
                <w:rFonts w:ascii="Times New Roman" w:hAnsi="Times New Roman"/>
                <w:sz w:val="24"/>
                <w:lang w:eastAsia="uk-UA"/>
              </w:rPr>
              <w:lastRenderedPageBreak/>
              <w:t>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625E8F" w:rsidRPr="00EE63B2" w:rsidRDefault="00625E8F" w:rsidP="00625E8F">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E8F" w:rsidRPr="005C1FDF" w:rsidRDefault="00625E8F" w:rsidP="00625E8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5C1FDF">
              <w:lastRenderedPageBreak/>
              <w:t xml:space="preserve">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4" w:name="n1610"/>
            <w:bookmarkEnd w:id="4"/>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4) коли здійснення закупівлі стало неможливим внаслідок дії обставин 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lastRenderedPageBreak/>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625E8F">
            <w:pPr>
              <w:widowControl w:val="0"/>
              <w:numPr>
                <w:ilvl w:val="0"/>
                <w:numId w:val="16"/>
              </w:numPr>
              <w:jc w:val="both"/>
            </w:pPr>
            <w:r w:rsidRPr="000E4457">
              <w:t>визначення грошового еквівалента зобов’язання в іноземній валюті;</w:t>
            </w:r>
          </w:p>
          <w:p w:rsidR="00625E8F" w:rsidRPr="000E4457" w:rsidRDefault="00625E8F" w:rsidP="00625E8F">
            <w:pPr>
              <w:widowControl w:val="0"/>
              <w:numPr>
                <w:ilvl w:val="0"/>
                <w:numId w:val="17"/>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625E8F">
            <w:pPr>
              <w:pStyle w:val="HTML"/>
              <w:numPr>
                <w:ilvl w:val="0"/>
                <w:numId w:val="17"/>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w:t>
            </w:r>
            <w:r w:rsidRPr="000E4457">
              <w:lastRenderedPageBreak/>
              <w:t>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6. Забезпечення виконання договору про закупівлю</w:t>
            </w:r>
          </w:p>
        </w:tc>
        <w:tc>
          <w:tcPr>
            <w:tcW w:w="7585" w:type="dxa"/>
            <w:gridSpan w:val="2"/>
            <w:vAlign w:val="center"/>
          </w:tcPr>
          <w:p w:rsidR="00625E8F" w:rsidRPr="005C1FDF" w:rsidRDefault="00625E8F" w:rsidP="00625E8F">
            <w:pPr>
              <w:pStyle w:val="a5"/>
              <w:tabs>
                <w:tab w:val="left" w:pos="1260"/>
                <w:tab w:val="left" w:pos="1980"/>
              </w:tabs>
              <w:jc w:val="both"/>
            </w:pPr>
            <w:r w:rsidRPr="005C1FDF">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6"/>
          <w:footerReference w:type="default" r:id="rId27"/>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C952F4" w:rsidRPr="00E336F0" w:rsidRDefault="00C952F4" w:rsidP="00C952F4">
      <w:pPr>
        <w:jc w:val="center"/>
        <w:rPr>
          <w:b/>
          <w:lang w:val="ru-RU"/>
        </w:rPr>
      </w:pPr>
      <w:r w:rsidRPr="00E336F0">
        <w:rPr>
          <w:b/>
          <w:lang w:val="ru-RU"/>
        </w:rPr>
        <w:t>ДОГОВІР № _______</w:t>
      </w:r>
      <w:r w:rsidRPr="00E336F0">
        <w:rPr>
          <w:b/>
        </w:rPr>
        <w:t>/</w:t>
      </w:r>
      <w:r w:rsidRPr="00E336F0">
        <w:rPr>
          <w:b/>
          <w:lang w:val="ru-RU"/>
        </w:rPr>
        <w:t>__</w:t>
      </w:r>
    </w:p>
    <w:p w:rsidR="00C952F4" w:rsidRPr="00E336F0" w:rsidRDefault="00C952F4" w:rsidP="00C952F4">
      <w:pPr>
        <w:jc w:val="center"/>
        <w:rPr>
          <w:b/>
          <w:lang w:val="ru-RU"/>
        </w:rPr>
      </w:pPr>
      <w:r w:rsidRPr="00E336F0">
        <w:rPr>
          <w:b/>
          <w:lang w:val="ru-RU"/>
        </w:rPr>
        <w:t>про закупівлю товарів</w:t>
      </w:r>
    </w:p>
    <w:p w:rsidR="00C952F4" w:rsidRPr="00E336F0" w:rsidRDefault="00C952F4" w:rsidP="00C952F4">
      <w:pPr>
        <w:jc w:val="center"/>
        <w:rPr>
          <w:b/>
        </w:rPr>
      </w:pPr>
    </w:p>
    <w:p w:rsidR="00C952F4" w:rsidRPr="00E336F0" w:rsidRDefault="00C952F4" w:rsidP="00C952F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C952F4" w:rsidRPr="00E336F0" w:rsidRDefault="00C952F4" w:rsidP="00C952F4">
      <w:pPr>
        <w:jc w:val="center"/>
      </w:pPr>
    </w:p>
    <w:p w:rsidR="00C952F4" w:rsidRPr="00E336F0" w:rsidRDefault="00C952F4" w:rsidP="00C952F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952F4" w:rsidRPr="00E336F0" w:rsidRDefault="00C952F4" w:rsidP="00C952F4">
      <w:pPr>
        <w:jc w:val="both"/>
        <w:rPr>
          <w:lang w:val="ru-RU"/>
        </w:rPr>
      </w:pPr>
    </w:p>
    <w:p w:rsidR="00C952F4" w:rsidRPr="00E336F0" w:rsidRDefault="00C952F4" w:rsidP="00C952F4">
      <w:pPr>
        <w:numPr>
          <w:ilvl w:val="0"/>
          <w:numId w:val="24"/>
        </w:numPr>
        <w:contextualSpacing/>
        <w:jc w:val="center"/>
        <w:rPr>
          <w:lang w:val="en-US"/>
        </w:rPr>
      </w:pPr>
      <w:r w:rsidRPr="00E336F0">
        <w:rPr>
          <w:b/>
          <w:lang w:val="ru-RU"/>
        </w:rPr>
        <w:t>ПРЕДМЕТ ДОГОВОРУ</w:t>
      </w:r>
    </w:p>
    <w:p w:rsidR="00C952F4" w:rsidRPr="00E336F0" w:rsidRDefault="00C952F4" w:rsidP="00C952F4">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952F4" w:rsidRPr="00E336F0" w:rsidRDefault="00C952F4" w:rsidP="00C952F4">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952F4" w:rsidRPr="00E336F0" w:rsidTr="00C952F4">
        <w:tc>
          <w:tcPr>
            <w:tcW w:w="426" w:type="dxa"/>
            <w:vAlign w:val="center"/>
          </w:tcPr>
          <w:p w:rsidR="00C952F4" w:rsidRPr="007C175E" w:rsidRDefault="00C952F4" w:rsidP="00C952F4">
            <w:pPr>
              <w:jc w:val="center"/>
              <w:rPr>
                <w:b/>
                <w:sz w:val="20"/>
                <w:szCs w:val="20"/>
              </w:rPr>
            </w:pPr>
            <w:r w:rsidRPr="007C175E">
              <w:rPr>
                <w:b/>
                <w:sz w:val="20"/>
                <w:szCs w:val="20"/>
              </w:rPr>
              <w:t>№ п/п</w:t>
            </w:r>
          </w:p>
        </w:tc>
        <w:tc>
          <w:tcPr>
            <w:tcW w:w="3969" w:type="dxa"/>
            <w:vAlign w:val="center"/>
          </w:tcPr>
          <w:p w:rsidR="00C952F4" w:rsidRPr="007C175E" w:rsidRDefault="00C952F4" w:rsidP="00C952F4">
            <w:pPr>
              <w:jc w:val="center"/>
              <w:rPr>
                <w:b/>
                <w:sz w:val="20"/>
                <w:szCs w:val="20"/>
              </w:rPr>
            </w:pPr>
            <w:r w:rsidRPr="007C175E">
              <w:rPr>
                <w:b/>
                <w:sz w:val="20"/>
                <w:szCs w:val="20"/>
              </w:rPr>
              <w:t>Найменування продукції,</w:t>
            </w:r>
          </w:p>
          <w:p w:rsidR="00C952F4" w:rsidRPr="007C175E" w:rsidRDefault="00C952F4" w:rsidP="00C952F4">
            <w:pPr>
              <w:jc w:val="center"/>
              <w:rPr>
                <w:b/>
                <w:sz w:val="20"/>
                <w:szCs w:val="20"/>
              </w:rPr>
            </w:pPr>
            <w:r w:rsidRPr="007C175E">
              <w:rPr>
                <w:b/>
                <w:sz w:val="20"/>
                <w:szCs w:val="20"/>
              </w:rPr>
              <w:t>тип (марка)</w:t>
            </w:r>
          </w:p>
        </w:tc>
        <w:tc>
          <w:tcPr>
            <w:tcW w:w="708" w:type="dxa"/>
            <w:vAlign w:val="center"/>
          </w:tcPr>
          <w:p w:rsidR="00C952F4" w:rsidRPr="007C175E" w:rsidRDefault="00C952F4" w:rsidP="00C952F4">
            <w:pPr>
              <w:jc w:val="center"/>
              <w:rPr>
                <w:b/>
                <w:sz w:val="20"/>
                <w:szCs w:val="20"/>
              </w:rPr>
            </w:pPr>
            <w:r w:rsidRPr="007C175E">
              <w:rPr>
                <w:b/>
                <w:sz w:val="20"/>
                <w:szCs w:val="20"/>
              </w:rPr>
              <w:t>Од. вим.</w:t>
            </w:r>
          </w:p>
        </w:tc>
        <w:tc>
          <w:tcPr>
            <w:tcW w:w="709" w:type="dxa"/>
            <w:vAlign w:val="center"/>
          </w:tcPr>
          <w:p w:rsidR="00C952F4" w:rsidRPr="007C175E" w:rsidRDefault="00C952F4" w:rsidP="00C952F4">
            <w:pPr>
              <w:jc w:val="center"/>
              <w:rPr>
                <w:b/>
                <w:sz w:val="20"/>
                <w:szCs w:val="20"/>
              </w:rPr>
            </w:pPr>
            <w:r w:rsidRPr="007C175E">
              <w:rPr>
                <w:b/>
                <w:sz w:val="20"/>
                <w:szCs w:val="20"/>
              </w:rPr>
              <w:t>Кіль-кість</w:t>
            </w:r>
          </w:p>
        </w:tc>
        <w:tc>
          <w:tcPr>
            <w:tcW w:w="1276" w:type="dxa"/>
            <w:vAlign w:val="center"/>
          </w:tcPr>
          <w:p w:rsidR="00C952F4" w:rsidRPr="007C175E" w:rsidRDefault="00C952F4" w:rsidP="00C952F4">
            <w:pPr>
              <w:rPr>
                <w:b/>
                <w:sz w:val="20"/>
                <w:szCs w:val="20"/>
              </w:rPr>
            </w:pPr>
            <w:r w:rsidRPr="007C175E">
              <w:rPr>
                <w:b/>
                <w:sz w:val="20"/>
                <w:szCs w:val="20"/>
              </w:rPr>
              <w:t>Ціна,грн., без  ПДВ /од.вим.</w:t>
            </w:r>
          </w:p>
        </w:tc>
        <w:tc>
          <w:tcPr>
            <w:tcW w:w="1276" w:type="dxa"/>
            <w:vAlign w:val="center"/>
          </w:tcPr>
          <w:p w:rsidR="00C952F4" w:rsidRPr="007C175E" w:rsidRDefault="00C952F4" w:rsidP="00C952F4">
            <w:pPr>
              <w:rPr>
                <w:b/>
                <w:sz w:val="20"/>
                <w:szCs w:val="20"/>
              </w:rPr>
            </w:pPr>
            <w:r w:rsidRPr="007C175E">
              <w:rPr>
                <w:b/>
                <w:sz w:val="20"/>
                <w:szCs w:val="20"/>
              </w:rPr>
              <w:t>Вартість партії, грн. без ПДВ</w:t>
            </w:r>
          </w:p>
        </w:tc>
        <w:tc>
          <w:tcPr>
            <w:tcW w:w="1701" w:type="dxa"/>
            <w:vAlign w:val="center"/>
          </w:tcPr>
          <w:p w:rsidR="00C952F4" w:rsidRPr="007C175E" w:rsidRDefault="00C952F4" w:rsidP="00C952F4">
            <w:pPr>
              <w:rPr>
                <w:b/>
                <w:sz w:val="20"/>
                <w:szCs w:val="20"/>
              </w:rPr>
            </w:pPr>
            <w:r w:rsidRPr="007C175E">
              <w:rPr>
                <w:b/>
                <w:sz w:val="20"/>
                <w:szCs w:val="20"/>
              </w:rPr>
              <w:t>Підприємство-виробник,кра-їна-виробник</w:t>
            </w:r>
          </w:p>
        </w:tc>
      </w:tr>
      <w:tr w:rsidR="00C952F4" w:rsidRPr="00E336F0" w:rsidTr="00C952F4">
        <w:tc>
          <w:tcPr>
            <w:tcW w:w="426" w:type="dxa"/>
            <w:vAlign w:val="center"/>
          </w:tcPr>
          <w:p w:rsidR="00C952F4" w:rsidRPr="00E336F0" w:rsidRDefault="00C952F4" w:rsidP="00C952F4">
            <w:r w:rsidRPr="00E336F0">
              <w:t>1</w:t>
            </w:r>
          </w:p>
        </w:tc>
        <w:tc>
          <w:tcPr>
            <w:tcW w:w="3969" w:type="dxa"/>
            <w:vAlign w:val="center"/>
          </w:tcPr>
          <w:p w:rsidR="00C952F4" w:rsidRPr="00E336F0" w:rsidRDefault="00C952F4" w:rsidP="00C952F4"/>
        </w:tc>
        <w:tc>
          <w:tcPr>
            <w:tcW w:w="708" w:type="dxa"/>
            <w:vAlign w:val="center"/>
          </w:tcPr>
          <w:p w:rsidR="00C952F4" w:rsidRPr="00E336F0" w:rsidRDefault="00C952F4" w:rsidP="00C952F4"/>
        </w:tc>
        <w:tc>
          <w:tcPr>
            <w:tcW w:w="709" w:type="dxa"/>
            <w:vAlign w:val="center"/>
          </w:tcPr>
          <w:p w:rsidR="00C952F4" w:rsidRPr="00E336F0" w:rsidRDefault="00C952F4" w:rsidP="00C952F4"/>
        </w:tc>
        <w:tc>
          <w:tcPr>
            <w:tcW w:w="1276" w:type="dxa"/>
            <w:vAlign w:val="center"/>
          </w:tcPr>
          <w:p w:rsidR="00C952F4" w:rsidRPr="00E336F0" w:rsidRDefault="00C952F4" w:rsidP="00C952F4"/>
        </w:tc>
        <w:tc>
          <w:tcPr>
            <w:tcW w:w="1276" w:type="dxa"/>
            <w:vAlign w:val="center"/>
          </w:tcPr>
          <w:p w:rsidR="00C952F4" w:rsidRPr="00E336F0" w:rsidRDefault="00C952F4" w:rsidP="00C952F4"/>
        </w:tc>
        <w:tc>
          <w:tcPr>
            <w:tcW w:w="1701" w:type="dxa"/>
            <w:vAlign w:val="center"/>
          </w:tcPr>
          <w:p w:rsidR="00C952F4" w:rsidRPr="00E336F0" w:rsidRDefault="00C952F4" w:rsidP="00C952F4"/>
        </w:tc>
      </w:tr>
      <w:tr w:rsidR="00C952F4" w:rsidRPr="00E336F0" w:rsidTr="00C952F4">
        <w:tc>
          <w:tcPr>
            <w:tcW w:w="426" w:type="dxa"/>
            <w:vAlign w:val="center"/>
          </w:tcPr>
          <w:p w:rsidR="00C952F4" w:rsidRPr="00E336F0" w:rsidRDefault="00C952F4" w:rsidP="00C952F4">
            <w:r w:rsidRPr="00E336F0">
              <w:t>2</w:t>
            </w:r>
          </w:p>
        </w:tc>
        <w:tc>
          <w:tcPr>
            <w:tcW w:w="3969" w:type="dxa"/>
            <w:vAlign w:val="center"/>
          </w:tcPr>
          <w:p w:rsidR="00C952F4" w:rsidRPr="00E336F0" w:rsidRDefault="00C952F4" w:rsidP="00C952F4"/>
        </w:tc>
        <w:tc>
          <w:tcPr>
            <w:tcW w:w="708" w:type="dxa"/>
            <w:vAlign w:val="center"/>
          </w:tcPr>
          <w:p w:rsidR="00C952F4" w:rsidRPr="00E336F0" w:rsidRDefault="00C952F4" w:rsidP="00C952F4"/>
        </w:tc>
        <w:tc>
          <w:tcPr>
            <w:tcW w:w="709" w:type="dxa"/>
            <w:vAlign w:val="center"/>
          </w:tcPr>
          <w:p w:rsidR="00C952F4" w:rsidRPr="00E336F0" w:rsidRDefault="00C952F4" w:rsidP="00C952F4"/>
        </w:tc>
        <w:tc>
          <w:tcPr>
            <w:tcW w:w="1276" w:type="dxa"/>
            <w:vAlign w:val="center"/>
          </w:tcPr>
          <w:p w:rsidR="00C952F4" w:rsidRPr="00E336F0" w:rsidRDefault="00C952F4" w:rsidP="00C952F4"/>
        </w:tc>
        <w:tc>
          <w:tcPr>
            <w:tcW w:w="1276" w:type="dxa"/>
            <w:vAlign w:val="center"/>
          </w:tcPr>
          <w:p w:rsidR="00C952F4" w:rsidRPr="00E336F0" w:rsidRDefault="00C952F4" w:rsidP="00C952F4"/>
        </w:tc>
        <w:tc>
          <w:tcPr>
            <w:tcW w:w="1701" w:type="dxa"/>
            <w:vAlign w:val="center"/>
          </w:tcPr>
          <w:p w:rsidR="00C952F4" w:rsidRPr="00E336F0" w:rsidRDefault="00C952F4" w:rsidP="00C952F4"/>
        </w:tc>
      </w:tr>
      <w:tr w:rsidR="00C952F4" w:rsidRPr="00E336F0" w:rsidTr="00C952F4">
        <w:tc>
          <w:tcPr>
            <w:tcW w:w="426" w:type="dxa"/>
            <w:vAlign w:val="center"/>
          </w:tcPr>
          <w:p w:rsidR="00C952F4" w:rsidRPr="00E336F0" w:rsidRDefault="00C952F4" w:rsidP="00C952F4">
            <w:r w:rsidRPr="00E336F0">
              <w:t>3</w:t>
            </w:r>
          </w:p>
        </w:tc>
        <w:tc>
          <w:tcPr>
            <w:tcW w:w="3969" w:type="dxa"/>
            <w:vAlign w:val="center"/>
          </w:tcPr>
          <w:p w:rsidR="00C952F4" w:rsidRPr="00E336F0" w:rsidRDefault="00C952F4" w:rsidP="00C952F4"/>
        </w:tc>
        <w:tc>
          <w:tcPr>
            <w:tcW w:w="708" w:type="dxa"/>
            <w:vAlign w:val="center"/>
          </w:tcPr>
          <w:p w:rsidR="00C952F4" w:rsidRPr="00E336F0" w:rsidRDefault="00C952F4" w:rsidP="00C952F4"/>
        </w:tc>
        <w:tc>
          <w:tcPr>
            <w:tcW w:w="709" w:type="dxa"/>
            <w:vAlign w:val="center"/>
          </w:tcPr>
          <w:p w:rsidR="00C952F4" w:rsidRPr="00E336F0" w:rsidRDefault="00C952F4" w:rsidP="00C952F4"/>
        </w:tc>
        <w:tc>
          <w:tcPr>
            <w:tcW w:w="1276" w:type="dxa"/>
            <w:vAlign w:val="center"/>
          </w:tcPr>
          <w:p w:rsidR="00C952F4" w:rsidRPr="00E336F0" w:rsidRDefault="00C952F4" w:rsidP="00C952F4"/>
        </w:tc>
        <w:tc>
          <w:tcPr>
            <w:tcW w:w="1276" w:type="dxa"/>
            <w:vAlign w:val="center"/>
          </w:tcPr>
          <w:p w:rsidR="00C952F4" w:rsidRPr="00E336F0" w:rsidRDefault="00C952F4" w:rsidP="00C952F4"/>
        </w:tc>
        <w:tc>
          <w:tcPr>
            <w:tcW w:w="1701" w:type="dxa"/>
            <w:vAlign w:val="center"/>
          </w:tcPr>
          <w:p w:rsidR="00C952F4" w:rsidRPr="00E336F0" w:rsidRDefault="00C952F4" w:rsidP="00C952F4"/>
        </w:tc>
      </w:tr>
    </w:tbl>
    <w:p w:rsidR="00C952F4" w:rsidRPr="00E336F0" w:rsidRDefault="00C952F4" w:rsidP="00C952F4">
      <w:pPr>
        <w:numPr>
          <w:ilvl w:val="1"/>
          <w:numId w:val="24"/>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952F4" w:rsidRPr="00E336F0" w:rsidRDefault="00C952F4" w:rsidP="00C952F4">
      <w:pPr>
        <w:numPr>
          <w:ilvl w:val="1"/>
          <w:numId w:val="24"/>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952F4" w:rsidRPr="00E336F0" w:rsidRDefault="00C952F4" w:rsidP="00C952F4">
      <w:pPr>
        <w:numPr>
          <w:ilvl w:val="1"/>
          <w:numId w:val="24"/>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952F4" w:rsidRPr="00E336F0" w:rsidRDefault="00C952F4" w:rsidP="00C952F4">
      <w:pPr>
        <w:numPr>
          <w:ilvl w:val="1"/>
          <w:numId w:val="24"/>
        </w:numPr>
        <w:tabs>
          <w:tab w:val="left" w:pos="5760"/>
        </w:tabs>
        <w:jc w:val="both"/>
        <w:rPr>
          <w:lang w:val="ru-RU"/>
        </w:rPr>
      </w:pPr>
      <w:r w:rsidRPr="00E336F0">
        <w:rPr>
          <w:lang w:val="ru-RU"/>
        </w:rPr>
        <w:t>Місце виконання договору- м.Івано-Франківськ.</w:t>
      </w:r>
    </w:p>
    <w:p w:rsidR="00C952F4" w:rsidRPr="00E336F0" w:rsidRDefault="00C952F4" w:rsidP="00C952F4">
      <w:pPr>
        <w:tabs>
          <w:tab w:val="left" w:pos="5760"/>
        </w:tabs>
        <w:jc w:val="both"/>
        <w:rPr>
          <w:lang w:val="ru-RU"/>
        </w:rPr>
      </w:pPr>
    </w:p>
    <w:p w:rsidR="00C952F4" w:rsidRPr="00E336F0" w:rsidRDefault="00C952F4" w:rsidP="00C952F4">
      <w:pPr>
        <w:numPr>
          <w:ilvl w:val="0"/>
          <w:numId w:val="24"/>
        </w:numPr>
        <w:jc w:val="center"/>
        <w:rPr>
          <w:b/>
          <w:lang w:val="ru-RU"/>
        </w:rPr>
      </w:pPr>
      <w:r w:rsidRPr="00E336F0">
        <w:rPr>
          <w:b/>
          <w:lang w:val="ru-RU"/>
        </w:rPr>
        <w:t>СУМА ДОГОВОРУ</w:t>
      </w:r>
    </w:p>
    <w:p w:rsidR="00C952F4" w:rsidRPr="00E336F0" w:rsidRDefault="00C952F4" w:rsidP="00C952F4">
      <w:pPr>
        <w:numPr>
          <w:ilvl w:val="1"/>
          <w:numId w:val="24"/>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952F4" w:rsidRPr="00E336F0" w:rsidRDefault="00C952F4" w:rsidP="00C952F4">
      <w:pPr>
        <w:numPr>
          <w:ilvl w:val="1"/>
          <w:numId w:val="24"/>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C952F4" w:rsidRPr="00E336F0" w:rsidRDefault="00C952F4" w:rsidP="00C952F4">
      <w:pPr>
        <w:tabs>
          <w:tab w:val="left" w:pos="5760"/>
        </w:tabs>
        <w:jc w:val="both"/>
        <w:rPr>
          <w:lang w:val="ru-RU"/>
        </w:rPr>
      </w:pPr>
    </w:p>
    <w:p w:rsidR="00C952F4" w:rsidRPr="00E336F0" w:rsidRDefault="00C952F4" w:rsidP="00C952F4">
      <w:pPr>
        <w:numPr>
          <w:ilvl w:val="0"/>
          <w:numId w:val="24"/>
        </w:numPr>
        <w:jc w:val="center"/>
        <w:rPr>
          <w:b/>
          <w:lang w:val="ru-RU"/>
        </w:rPr>
      </w:pPr>
      <w:r w:rsidRPr="00E336F0">
        <w:rPr>
          <w:b/>
          <w:lang w:val="ru-RU"/>
        </w:rPr>
        <w:t>ЦІНА ТОВАРУ</w:t>
      </w:r>
    </w:p>
    <w:p w:rsidR="00C952F4" w:rsidRPr="00E336F0" w:rsidRDefault="00C952F4" w:rsidP="00C952F4">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952F4" w:rsidRPr="00E336F0" w:rsidRDefault="00C952F4" w:rsidP="00C952F4">
      <w:pPr>
        <w:numPr>
          <w:ilvl w:val="1"/>
          <w:numId w:val="24"/>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FA6AA1">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952F4" w:rsidRPr="00E336F0" w:rsidRDefault="00C952F4" w:rsidP="00C952F4">
      <w:pPr>
        <w:rPr>
          <w:b/>
          <w:lang w:val="ru-RU"/>
        </w:rPr>
      </w:pPr>
    </w:p>
    <w:p w:rsidR="00C952F4" w:rsidRPr="00E336F0" w:rsidRDefault="00C952F4" w:rsidP="00C952F4">
      <w:pPr>
        <w:numPr>
          <w:ilvl w:val="0"/>
          <w:numId w:val="24"/>
        </w:numPr>
        <w:jc w:val="center"/>
        <w:rPr>
          <w:b/>
          <w:lang w:val="ru-RU"/>
        </w:rPr>
      </w:pPr>
      <w:r w:rsidRPr="00E336F0">
        <w:rPr>
          <w:b/>
          <w:lang w:val="ru-RU"/>
        </w:rPr>
        <w:t>УМОВИ РОЗРАХУНКУ</w:t>
      </w:r>
    </w:p>
    <w:p w:rsidR="00C952F4" w:rsidRPr="00E336F0" w:rsidRDefault="00C952F4" w:rsidP="00C952F4">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E336F0">
        <w:rPr>
          <w:b/>
        </w:rPr>
        <w:t>20 робочих днів</w:t>
      </w:r>
      <w:r w:rsidRPr="00E336F0">
        <w:rPr>
          <w:lang w:val="ru-RU"/>
        </w:rPr>
        <w:t xml:space="preserve"> з моменту поставки товарів. </w:t>
      </w:r>
    </w:p>
    <w:p w:rsidR="00C952F4" w:rsidRPr="00E336F0" w:rsidRDefault="00C952F4" w:rsidP="00C952F4">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952F4" w:rsidRPr="00E336F0" w:rsidRDefault="00C952F4" w:rsidP="00C952F4">
      <w:pPr>
        <w:rPr>
          <w:bCs/>
          <w:lang w:val="ru-RU"/>
        </w:rPr>
      </w:pPr>
    </w:p>
    <w:p w:rsidR="00C952F4" w:rsidRPr="00E336F0" w:rsidRDefault="00C952F4" w:rsidP="00C952F4">
      <w:pPr>
        <w:numPr>
          <w:ilvl w:val="0"/>
          <w:numId w:val="24"/>
        </w:numPr>
        <w:jc w:val="center"/>
        <w:rPr>
          <w:bCs/>
          <w:lang w:val="ru-RU"/>
        </w:rPr>
      </w:pPr>
      <w:r w:rsidRPr="00E336F0">
        <w:rPr>
          <w:b/>
        </w:rPr>
        <w:t>ПОСТАВКА ТОВАРУ</w:t>
      </w:r>
    </w:p>
    <w:p w:rsidR="00C952F4" w:rsidRPr="00E336F0" w:rsidRDefault="00C952F4" w:rsidP="00C952F4">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робочих днів</w:t>
      </w:r>
      <w:r w:rsidRPr="00E336F0">
        <w:rPr>
          <w:lang w:val="ru-RU"/>
        </w:rPr>
        <w:t xml:space="preserve"> з дня отримання від Покупця заявки на поставку.</w:t>
      </w:r>
    </w:p>
    <w:p w:rsidR="00C952F4" w:rsidRPr="00E336F0" w:rsidRDefault="00C952F4" w:rsidP="00C952F4">
      <w:pPr>
        <w:numPr>
          <w:ilvl w:val="1"/>
          <w:numId w:val="24"/>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952F4" w:rsidRPr="00E336F0" w:rsidRDefault="00C952F4" w:rsidP="00C952F4">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952F4" w:rsidRPr="00E336F0" w:rsidRDefault="00C952F4" w:rsidP="00C952F4">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C952F4">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952F4" w:rsidRPr="00C952F4" w:rsidRDefault="00C952F4" w:rsidP="00C952F4">
      <w:pPr>
        <w:numPr>
          <w:ilvl w:val="1"/>
          <w:numId w:val="24"/>
        </w:numPr>
        <w:tabs>
          <w:tab w:val="left" w:pos="5760"/>
        </w:tabs>
        <w:jc w:val="both"/>
        <w:rPr>
          <w:bCs/>
        </w:rPr>
      </w:pPr>
      <w:r w:rsidRPr="00C952F4">
        <w:rPr>
          <w:bCs/>
        </w:rPr>
        <w:t>Під час повітряної тривоги робота складу припиняється та відновлюється після того, як оголошений відбій повітряної тривоги.</w:t>
      </w:r>
    </w:p>
    <w:p w:rsidR="00C952F4" w:rsidRPr="00E336F0" w:rsidRDefault="00C952F4" w:rsidP="00C952F4">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C952F4" w:rsidRPr="00E336F0" w:rsidRDefault="00C952F4" w:rsidP="00C952F4">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C952F4" w:rsidRPr="00E336F0" w:rsidRDefault="00C952F4" w:rsidP="00C952F4">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C952F4" w:rsidRPr="00E336F0" w:rsidRDefault="00C952F4" w:rsidP="00C952F4">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952F4" w:rsidRPr="00E336F0" w:rsidRDefault="00C952F4" w:rsidP="00C952F4">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952F4" w:rsidRPr="00E336F0" w:rsidRDefault="00C952F4" w:rsidP="00C952F4">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952F4" w:rsidRPr="00E336F0" w:rsidRDefault="00C952F4" w:rsidP="00C952F4">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952F4" w:rsidRPr="00E336F0" w:rsidRDefault="00C952F4" w:rsidP="00C952F4">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952F4" w:rsidRPr="00E336F0" w:rsidRDefault="00C952F4" w:rsidP="00C952F4">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8"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952F4" w:rsidRPr="00E336F0" w:rsidRDefault="00C952F4" w:rsidP="00C952F4">
      <w:pPr>
        <w:tabs>
          <w:tab w:val="left" w:pos="5760"/>
        </w:tabs>
        <w:jc w:val="both"/>
        <w:rPr>
          <w:bCs/>
          <w:lang w:val="ru-RU"/>
        </w:rPr>
      </w:pPr>
    </w:p>
    <w:p w:rsidR="00C952F4" w:rsidRPr="00E336F0" w:rsidRDefault="00C952F4" w:rsidP="00C952F4">
      <w:pPr>
        <w:numPr>
          <w:ilvl w:val="0"/>
          <w:numId w:val="24"/>
        </w:numPr>
        <w:jc w:val="center"/>
        <w:rPr>
          <w:b/>
          <w:lang w:val="ru-RU"/>
        </w:rPr>
      </w:pPr>
      <w:r w:rsidRPr="00E336F0">
        <w:rPr>
          <w:b/>
          <w:lang w:val="ru-RU"/>
        </w:rPr>
        <w:t>ЯКІСТЬ ТОВАРУ</w:t>
      </w:r>
    </w:p>
    <w:p w:rsidR="00C952F4" w:rsidRPr="00E336F0" w:rsidRDefault="00C952F4" w:rsidP="00C952F4">
      <w:pPr>
        <w:numPr>
          <w:ilvl w:val="1"/>
          <w:numId w:val="24"/>
        </w:numPr>
        <w:suppressLineNumbers/>
        <w:jc w:val="both"/>
        <w:rPr>
          <w:lang w:val="ru-RU"/>
        </w:rPr>
      </w:pPr>
      <w:r w:rsidRPr="00E336F0">
        <w:rPr>
          <w:color w:val="000000"/>
          <w:lang w:val="ru-RU"/>
        </w:rPr>
        <w:lastRenderedPageBreak/>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952F4" w:rsidRPr="00E336F0" w:rsidRDefault="00C952F4" w:rsidP="00C952F4">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952F4" w:rsidRPr="00E336F0" w:rsidRDefault="00C952F4" w:rsidP="00C952F4">
      <w:pPr>
        <w:numPr>
          <w:ilvl w:val="1"/>
          <w:numId w:val="24"/>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952F4" w:rsidRPr="00E336F0" w:rsidRDefault="00C952F4" w:rsidP="00C952F4">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952F4" w:rsidRPr="00E336F0" w:rsidRDefault="00C952F4" w:rsidP="00C952F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952F4" w:rsidRPr="00E336F0" w:rsidRDefault="00C952F4" w:rsidP="00C952F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952F4" w:rsidRPr="00E336F0" w:rsidRDefault="00C952F4" w:rsidP="00C952F4">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952F4" w:rsidRPr="00E336F0" w:rsidRDefault="00C952F4" w:rsidP="00C952F4">
      <w:pPr>
        <w:suppressLineNumbers/>
        <w:jc w:val="both"/>
      </w:pPr>
    </w:p>
    <w:p w:rsidR="00C952F4" w:rsidRPr="00E336F0" w:rsidRDefault="00C952F4" w:rsidP="00C952F4">
      <w:pPr>
        <w:numPr>
          <w:ilvl w:val="0"/>
          <w:numId w:val="24"/>
        </w:numPr>
        <w:jc w:val="center"/>
        <w:rPr>
          <w:b/>
        </w:rPr>
      </w:pPr>
      <w:r w:rsidRPr="00E336F0">
        <w:rPr>
          <w:b/>
        </w:rPr>
        <w:t>ПРАВА ТА ОБОВ'ЯЗКИ СТОРІН</w:t>
      </w:r>
    </w:p>
    <w:p w:rsidR="00C952F4" w:rsidRPr="00E336F0" w:rsidRDefault="00C952F4" w:rsidP="00C952F4">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952F4" w:rsidRPr="00E336F0" w:rsidRDefault="00C952F4" w:rsidP="00C952F4">
      <w:pPr>
        <w:numPr>
          <w:ilvl w:val="1"/>
          <w:numId w:val="24"/>
        </w:numPr>
        <w:tabs>
          <w:tab w:val="left" w:pos="284"/>
          <w:tab w:val="left" w:pos="5760"/>
        </w:tabs>
        <w:jc w:val="both"/>
        <w:rPr>
          <w:bCs/>
          <w:lang w:val="ru-RU"/>
        </w:rPr>
      </w:pPr>
      <w:r w:rsidRPr="00E336F0">
        <w:rPr>
          <w:bCs/>
          <w:lang w:val="ru-RU"/>
        </w:rPr>
        <w:t xml:space="preserve"> Покупець має право:</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952F4" w:rsidRPr="00E336F0" w:rsidRDefault="00C952F4" w:rsidP="00C952F4">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952F4" w:rsidRPr="00E336F0" w:rsidRDefault="00C952F4" w:rsidP="00C952F4">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952F4" w:rsidRPr="00E336F0" w:rsidRDefault="00C952F4" w:rsidP="00C952F4">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952F4" w:rsidRPr="00E336F0" w:rsidRDefault="00C952F4" w:rsidP="00C952F4">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952F4" w:rsidRPr="00E336F0" w:rsidRDefault="00C952F4" w:rsidP="00C952F4">
      <w:pPr>
        <w:tabs>
          <w:tab w:val="left" w:pos="0"/>
          <w:tab w:val="left" w:pos="5760"/>
        </w:tabs>
        <w:jc w:val="both"/>
        <w:rPr>
          <w:b/>
          <w:color w:val="C0C0C0"/>
          <w:lang w:val="ru-RU"/>
        </w:rPr>
      </w:pPr>
      <w:r w:rsidRPr="00E336F0">
        <w:rPr>
          <w:b/>
          <w:color w:val="C0C0C0"/>
          <w:lang w:val="ru-RU"/>
        </w:rPr>
        <w:t xml:space="preserve">                                              </w:t>
      </w:r>
    </w:p>
    <w:p w:rsidR="00C952F4" w:rsidRPr="00E336F0" w:rsidRDefault="00C952F4" w:rsidP="00C952F4">
      <w:pPr>
        <w:numPr>
          <w:ilvl w:val="0"/>
          <w:numId w:val="24"/>
        </w:numPr>
        <w:jc w:val="center"/>
        <w:rPr>
          <w:b/>
        </w:rPr>
      </w:pPr>
      <w:r w:rsidRPr="00E336F0">
        <w:rPr>
          <w:b/>
        </w:rPr>
        <w:t>ВІДПОВІДАЛЬНІСТЬ СТОРІН</w:t>
      </w:r>
    </w:p>
    <w:p w:rsidR="00C952F4" w:rsidRPr="00E336F0" w:rsidRDefault="00C952F4" w:rsidP="00C952F4">
      <w:pPr>
        <w:numPr>
          <w:ilvl w:val="1"/>
          <w:numId w:val="24"/>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952F4" w:rsidRPr="00E336F0" w:rsidRDefault="00C952F4" w:rsidP="00C952F4">
      <w:pPr>
        <w:numPr>
          <w:ilvl w:val="1"/>
          <w:numId w:val="24"/>
        </w:numPr>
        <w:tabs>
          <w:tab w:val="left" w:pos="5760"/>
        </w:tabs>
        <w:jc w:val="both"/>
        <w:rPr>
          <w:bCs/>
          <w:lang w:val="ru-RU"/>
        </w:rPr>
      </w:pPr>
      <w:r w:rsidRPr="00E336F0">
        <w:rPr>
          <w:bCs/>
          <w:lang w:val="ru-RU"/>
        </w:rPr>
        <w:t xml:space="preserve">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w:t>
      </w:r>
      <w:r w:rsidRPr="00E336F0">
        <w:rPr>
          <w:bCs/>
          <w:lang w:val="ru-RU"/>
        </w:rPr>
        <w:lastRenderedPageBreak/>
        <w:t>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952F4" w:rsidRPr="00E336F0" w:rsidRDefault="00C952F4" w:rsidP="00C952F4">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952F4" w:rsidRPr="00E336F0" w:rsidRDefault="00C952F4" w:rsidP="00C952F4">
      <w:pPr>
        <w:numPr>
          <w:ilvl w:val="1"/>
          <w:numId w:val="24"/>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952F4" w:rsidRPr="00E336F0" w:rsidRDefault="00C952F4" w:rsidP="00C952F4">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952F4" w:rsidRPr="00E336F0" w:rsidRDefault="00C952F4" w:rsidP="00C952F4">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952F4" w:rsidRPr="00E336F0" w:rsidRDefault="00C952F4" w:rsidP="00C952F4">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952F4" w:rsidRPr="00E336F0" w:rsidRDefault="00C952F4" w:rsidP="00C952F4">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952F4" w:rsidRPr="00E336F0" w:rsidRDefault="00C952F4" w:rsidP="00C952F4">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952F4" w:rsidRPr="00E336F0" w:rsidRDefault="00C952F4" w:rsidP="00C952F4">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952F4" w:rsidRPr="00E336F0" w:rsidRDefault="00C952F4" w:rsidP="00C952F4">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952F4" w:rsidRPr="00E336F0" w:rsidRDefault="00C952F4" w:rsidP="00C952F4">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952F4" w:rsidRPr="00E336F0" w:rsidRDefault="00C952F4" w:rsidP="00C952F4">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952F4" w:rsidRPr="00E336F0" w:rsidRDefault="00C952F4" w:rsidP="00C952F4">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C952F4">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952F4" w:rsidRPr="00E336F0" w:rsidRDefault="00C952F4" w:rsidP="00C952F4">
      <w:pPr>
        <w:tabs>
          <w:tab w:val="left" w:pos="5760"/>
        </w:tabs>
        <w:jc w:val="both"/>
        <w:rPr>
          <w:bCs/>
          <w:lang w:val="ru-RU"/>
        </w:rPr>
      </w:pPr>
    </w:p>
    <w:p w:rsidR="00C952F4" w:rsidRPr="00E336F0" w:rsidRDefault="00C952F4" w:rsidP="00C952F4">
      <w:pPr>
        <w:numPr>
          <w:ilvl w:val="0"/>
          <w:numId w:val="24"/>
        </w:numPr>
        <w:jc w:val="center"/>
        <w:rPr>
          <w:b/>
        </w:rPr>
      </w:pPr>
      <w:r w:rsidRPr="00E336F0">
        <w:rPr>
          <w:b/>
        </w:rPr>
        <w:t>ОБСТАВИНИ НЕПЕРЕБОРНОЇ СИЛИ</w:t>
      </w:r>
    </w:p>
    <w:p w:rsidR="00C952F4" w:rsidRPr="00E336F0" w:rsidRDefault="00C952F4" w:rsidP="00C952F4">
      <w:pPr>
        <w:numPr>
          <w:ilvl w:val="1"/>
          <w:numId w:val="24"/>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952F4" w:rsidRPr="00E336F0" w:rsidRDefault="00C952F4" w:rsidP="00C952F4">
      <w:pPr>
        <w:numPr>
          <w:ilvl w:val="1"/>
          <w:numId w:val="24"/>
        </w:numPr>
        <w:tabs>
          <w:tab w:val="left" w:pos="5760"/>
        </w:tabs>
        <w:jc w:val="both"/>
        <w:rPr>
          <w:bCs/>
          <w:lang w:val="ru-RU"/>
        </w:rPr>
      </w:pPr>
      <w:r w:rsidRPr="00E336F0">
        <w:rPr>
          <w:bCs/>
          <w:lang w:val="ru-RU"/>
        </w:rPr>
        <w:lastRenderedPageBreak/>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952F4" w:rsidRPr="00E336F0" w:rsidRDefault="00C952F4" w:rsidP="00C952F4">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952F4" w:rsidRPr="00E336F0" w:rsidRDefault="00C952F4" w:rsidP="00C952F4">
      <w:pPr>
        <w:numPr>
          <w:ilvl w:val="1"/>
          <w:numId w:val="24"/>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952F4" w:rsidRPr="00E336F0" w:rsidRDefault="00C952F4" w:rsidP="00C952F4">
      <w:pPr>
        <w:tabs>
          <w:tab w:val="left" w:pos="5760"/>
        </w:tabs>
        <w:jc w:val="both"/>
        <w:rPr>
          <w:bCs/>
          <w:lang w:val="ru-RU"/>
        </w:rPr>
      </w:pPr>
    </w:p>
    <w:p w:rsidR="00C952F4" w:rsidRPr="00E336F0" w:rsidRDefault="00C952F4" w:rsidP="00C952F4">
      <w:pPr>
        <w:numPr>
          <w:ilvl w:val="0"/>
          <w:numId w:val="24"/>
        </w:numPr>
        <w:jc w:val="center"/>
        <w:rPr>
          <w:b/>
        </w:rPr>
      </w:pPr>
      <w:r w:rsidRPr="00E336F0">
        <w:rPr>
          <w:b/>
        </w:rPr>
        <w:t>ПОРЯДОК ВНЕСЕННЯ ЗМІН ДО ДОГОВОРУ</w:t>
      </w:r>
    </w:p>
    <w:p w:rsidR="00C952F4" w:rsidRPr="00E336F0" w:rsidRDefault="00C952F4" w:rsidP="00C952F4">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952F4" w:rsidRPr="00E336F0" w:rsidRDefault="00C952F4" w:rsidP="00C952F4">
      <w:pPr>
        <w:numPr>
          <w:ilvl w:val="1"/>
          <w:numId w:val="24"/>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952F4" w:rsidRPr="00E336F0" w:rsidRDefault="00C952F4" w:rsidP="00C952F4">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952F4" w:rsidRPr="00E336F0" w:rsidRDefault="00C952F4" w:rsidP="00C952F4">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952F4" w:rsidRPr="00E336F0" w:rsidRDefault="00C952F4" w:rsidP="00C952F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952F4" w:rsidRPr="00E336F0" w:rsidRDefault="00C952F4" w:rsidP="00C952F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952F4" w:rsidRPr="00E336F0" w:rsidRDefault="00C952F4" w:rsidP="00C952F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952F4" w:rsidRPr="00E336F0" w:rsidRDefault="00C952F4" w:rsidP="00C952F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952F4" w:rsidRPr="00E336F0" w:rsidRDefault="00C952F4" w:rsidP="00C952F4">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w:t>
      </w:r>
      <w:r w:rsidRPr="00E336F0">
        <w:rPr>
          <w:bCs/>
          <w:lang w:val="ru-RU"/>
        </w:rPr>
        <w:lastRenderedPageBreak/>
        <w:t>«Укрпромзовнішекспертиза»,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952F4" w:rsidRPr="00E336F0" w:rsidRDefault="00C952F4" w:rsidP="00C952F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52F4" w:rsidRPr="00E336F0" w:rsidRDefault="00C952F4" w:rsidP="00C952F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952F4" w:rsidRPr="00E336F0" w:rsidRDefault="00C952F4" w:rsidP="00C952F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52F4" w:rsidRPr="00E336F0" w:rsidRDefault="00C952F4" w:rsidP="00C952F4">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952F4" w:rsidRPr="00E336F0" w:rsidRDefault="00C952F4" w:rsidP="00C952F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952F4" w:rsidRPr="00E336F0" w:rsidRDefault="00C952F4" w:rsidP="00C952F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52F4" w:rsidRPr="00E336F0" w:rsidRDefault="00C952F4" w:rsidP="00C952F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52F4" w:rsidRPr="00E336F0" w:rsidRDefault="00C952F4" w:rsidP="00C952F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952F4" w:rsidRPr="00E336F0" w:rsidRDefault="00C952F4" w:rsidP="00C952F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952F4" w:rsidRPr="00E336F0" w:rsidRDefault="00C952F4" w:rsidP="00C952F4">
      <w:pPr>
        <w:numPr>
          <w:ilvl w:val="1"/>
          <w:numId w:val="24"/>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952F4" w:rsidRPr="00E336F0" w:rsidRDefault="00C952F4" w:rsidP="00C952F4">
      <w:pPr>
        <w:numPr>
          <w:ilvl w:val="1"/>
          <w:numId w:val="24"/>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952F4" w:rsidRPr="00E336F0" w:rsidRDefault="00C952F4" w:rsidP="00C952F4">
      <w:pPr>
        <w:tabs>
          <w:tab w:val="left" w:pos="5760"/>
        </w:tabs>
        <w:jc w:val="both"/>
        <w:rPr>
          <w:bCs/>
          <w:lang w:val="ru-RU"/>
        </w:rPr>
      </w:pPr>
    </w:p>
    <w:p w:rsidR="00C952F4" w:rsidRPr="00E336F0" w:rsidRDefault="00C952F4" w:rsidP="00C952F4">
      <w:pPr>
        <w:numPr>
          <w:ilvl w:val="0"/>
          <w:numId w:val="24"/>
        </w:numPr>
        <w:jc w:val="center"/>
        <w:rPr>
          <w:b/>
        </w:rPr>
      </w:pPr>
      <w:r w:rsidRPr="00E336F0">
        <w:rPr>
          <w:b/>
        </w:rPr>
        <w:lastRenderedPageBreak/>
        <w:t>ВИРІШЕННЯ СПОРІВ</w:t>
      </w:r>
    </w:p>
    <w:p w:rsidR="00C952F4" w:rsidRPr="00E336F0" w:rsidRDefault="00C952F4" w:rsidP="00C952F4">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952F4" w:rsidRPr="00E336F0" w:rsidRDefault="00C952F4" w:rsidP="00C952F4">
      <w:pPr>
        <w:numPr>
          <w:ilvl w:val="1"/>
          <w:numId w:val="24"/>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952F4" w:rsidRPr="00E336F0" w:rsidRDefault="00C952F4" w:rsidP="00C952F4">
      <w:pPr>
        <w:tabs>
          <w:tab w:val="left" w:pos="5760"/>
        </w:tabs>
        <w:jc w:val="both"/>
        <w:rPr>
          <w:b/>
        </w:rPr>
      </w:pPr>
    </w:p>
    <w:p w:rsidR="00C952F4" w:rsidRPr="00E336F0" w:rsidRDefault="00C952F4" w:rsidP="00C952F4">
      <w:pPr>
        <w:numPr>
          <w:ilvl w:val="0"/>
          <w:numId w:val="24"/>
        </w:numPr>
        <w:jc w:val="center"/>
        <w:rPr>
          <w:b/>
        </w:rPr>
      </w:pPr>
      <w:r w:rsidRPr="00E336F0">
        <w:rPr>
          <w:b/>
        </w:rPr>
        <w:t>СТРОК ДІЇ ДОГОВОРУ</w:t>
      </w:r>
    </w:p>
    <w:p w:rsidR="00C952F4" w:rsidRPr="00E336F0" w:rsidRDefault="00C952F4" w:rsidP="00C952F4">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C952F4" w:rsidRPr="00E336F0" w:rsidRDefault="00C952F4" w:rsidP="00C952F4">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C952F4" w:rsidRPr="00E336F0" w:rsidRDefault="00C952F4" w:rsidP="00C952F4">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952F4" w:rsidRPr="00E336F0" w:rsidRDefault="00C952F4" w:rsidP="00C952F4">
      <w:pPr>
        <w:tabs>
          <w:tab w:val="left" w:pos="5760"/>
        </w:tabs>
        <w:jc w:val="both"/>
        <w:rPr>
          <w:bCs/>
          <w:lang w:val="ru-RU"/>
        </w:rPr>
      </w:pPr>
    </w:p>
    <w:p w:rsidR="00C952F4" w:rsidRPr="00E336F0" w:rsidRDefault="00C952F4" w:rsidP="00C952F4">
      <w:pPr>
        <w:numPr>
          <w:ilvl w:val="0"/>
          <w:numId w:val="24"/>
        </w:numPr>
        <w:jc w:val="center"/>
        <w:rPr>
          <w:b/>
        </w:rPr>
      </w:pPr>
      <w:r w:rsidRPr="00E336F0">
        <w:rPr>
          <w:b/>
        </w:rPr>
        <w:t>ІНШІ УМОВИ</w:t>
      </w:r>
    </w:p>
    <w:p w:rsidR="00C952F4" w:rsidRPr="00E336F0" w:rsidRDefault="00C952F4" w:rsidP="00C952F4">
      <w:pPr>
        <w:numPr>
          <w:ilvl w:val="1"/>
          <w:numId w:val="24"/>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952F4" w:rsidRPr="00E336F0" w:rsidRDefault="00C952F4" w:rsidP="00C952F4">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C952F4" w:rsidRPr="00E336F0" w:rsidRDefault="00C952F4" w:rsidP="00C952F4">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C952F4" w:rsidRPr="00E336F0" w:rsidRDefault="00C952F4" w:rsidP="00C952F4">
      <w:pPr>
        <w:tabs>
          <w:tab w:val="left" w:pos="5760"/>
        </w:tabs>
        <w:jc w:val="both"/>
        <w:rPr>
          <w:bCs/>
          <w:lang w:val="ru-RU"/>
        </w:rPr>
      </w:pPr>
    </w:p>
    <w:p w:rsidR="00C952F4" w:rsidRPr="00E336F0" w:rsidRDefault="00C952F4" w:rsidP="00C952F4">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952F4" w:rsidRPr="00E336F0" w:rsidTr="00C952F4">
        <w:trPr>
          <w:trHeight w:val="4407"/>
        </w:trPr>
        <w:tc>
          <w:tcPr>
            <w:tcW w:w="5495" w:type="dxa"/>
          </w:tcPr>
          <w:p w:rsidR="00C952F4" w:rsidRPr="00E336F0" w:rsidRDefault="00C952F4" w:rsidP="00C952F4">
            <w:pPr>
              <w:rPr>
                <w:b/>
                <w:lang w:val="ru-RU"/>
              </w:rPr>
            </w:pPr>
            <w:r w:rsidRPr="00E336F0">
              <w:rPr>
                <w:b/>
                <w:lang w:val="ru-RU"/>
              </w:rPr>
              <w:t>Постачальник:</w:t>
            </w:r>
          </w:p>
          <w:p w:rsidR="00C952F4" w:rsidRPr="00E336F0" w:rsidRDefault="00C952F4" w:rsidP="00C952F4">
            <w:pPr>
              <w:rPr>
                <w:b/>
                <w:lang w:val="ru-RU"/>
              </w:rPr>
            </w:pPr>
            <w:r w:rsidRPr="00E336F0">
              <w:rPr>
                <w:b/>
                <w:lang w:val="ru-RU"/>
              </w:rPr>
              <w:t>____________________________</w:t>
            </w:r>
          </w:p>
          <w:p w:rsidR="00C952F4" w:rsidRPr="00E336F0" w:rsidRDefault="00C952F4" w:rsidP="00C952F4">
            <w:pPr>
              <w:rPr>
                <w:b/>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r w:rsidRPr="00E336F0">
              <w:rPr>
                <w:b/>
                <w:lang w:val="ru-RU"/>
              </w:rPr>
              <w:t>____________________________</w:t>
            </w:r>
          </w:p>
          <w:p w:rsidR="00C952F4" w:rsidRPr="00E336F0" w:rsidRDefault="00C952F4" w:rsidP="00C952F4">
            <w:pPr>
              <w:rPr>
                <w:lang w:val="ru-RU"/>
              </w:rPr>
            </w:pPr>
          </w:p>
          <w:p w:rsidR="00C952F4" w:rsidRPr="00E336F0" w:rsidRDefault="00C952F4" w:rsidP="00C952F4">
            <w:pPr>
              <w:rPr>
                <w:b/>
                <w:lang w:val="ru-RU"/>
              </w:rPr>
            </w:pPr>
            <w:r w:rsidRPr="00E336F0">
              <w:rPr>
                <w:b/>
                <w:lang w:val="ru-RU"/>
              </w:rPr>
              <w:t>Директор</w:t>
            </w:r>
          </w:p>
          <w:p w:rsidR="00C952F4" w:rsidRPr="00E336F0" w:rsidRDefault="00C952F4" w:rsidP="00C952F4">
            <w:pPr>
              <w:rPr>
                <w:lang w:val="ru-RU"/>
              </w:rPr>
            </w:pPr>
          </w:p>
          <w:p w:rsidR="00C952F4" w:rsidRPr="00E336F0" w:rsidRDefault="00C952F4" w:rsidP="00C952F4">
            <w:pPr>
              <w:rPr>
                <w:lang w:val="ru-RU"/>
              </w:rPr>
            </w:pPr>
          </w:p>
          <w:p w:rsidR="00C952F4" w:rsidRPr="00E336F0" w:rsidRDefault="00C952F4" w:rsidP="00C952F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952F4" w:rsidRPr="00E336F0" w:rsidRDefault="00C952F4" w:rsidP="00C952F4">
            <w:pPr>
              <w:rPr>
                <w:b/>
              </w:rPr>
            </w:pPr>
            <w:r w:rsidRPr="00E336F0">
              <w:rPr>
                <w:b/>
                <w:lang w:val="ru-RU"/>
              </w:rPr>
              <w:t>М.П.</w:t>
            </w:r>
          </w:p>
        </w:tc>
        <w:tc>
          <w:tcPr>
            <w:tcW w:w="4693" w:type="dxa"/>
          </w:tcPr>
          <w:p w:rsidR="00C952F4" w:rsidRPr="00E336F0" w:rsidRDefault="00C952F4" w:rsidP="00C952F4">
            <w:pPr>
              <w:rPr>
                <w:b/>
                <w:lang w:val="ru-RU"/>
              </w:rPr>
            </w:pPr>
            <w:r w:rsidRPr="00E336F0">
              <w:rPr>
                <w:b/>
                <w:lang w:val="ru-RU"/>
              </w:rPr>
              <w:t>Покупець:</w:t>
            </w:r>
          </w:p>
          <w:p w:rsidR="00C952F4" w:rsidRPr="00E336F0" w:rsidRDefault="00C952F4" w:rsidP="00C952F4">
            <w:pPr>
              <w:rPr>
                <w:b/>
                <w:bCs/>
                <w:lang w:val="ru-RU"/>
              </w:rPr>
            </w:pPr>
            <w:r w:rsidRPr="00E336F0">
              <w:rPr>
                <w:b/>
                <w:bCs/>
                <w:lang w:val="ru-RU"/>
              </w:rPr>
              <w:t>АТ «Прикарпаттяобленерго»</w:t>
            </w:r>
          </w:p>
          <w:p w:rsidR="00C952F4" w:rsidRPr="00E336F0" w:rsidRDefault="00C952F4" w:rsidP="00C952F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952F4" w:rsidRPr="00E336F0" w:rsidRDefault="00C952F4" w:rsidP="00C952F4">
            <w:pPr>
              <w:rPr>
                <w:lang w:val="ru-RU"/>
              </w:rPr>
            </w:pPr>
            <w:r w:rsidRPr="00E336F0">
              <w:rPr>
                <w:lang w:val="ru-RU"/>
              </w:rPr>
              <w:t>вул. Індустріальна, 34</w:t>
            </w:r>
          </w:p>
          <w:p w:rsidR="00C952F4" w:rsidRPr="00E336F0" w:rsidRDefault="00C952F4" w:rsidP="00C952F4">
            <w:pPr>
              <w:rPr>
                <w:lang w:val="ru-RU"/>
              </w:rPr>
            </w:pPr>
            <w:r w:rsidRPr="00E336F0">
              <w:rPr>
                <w:lang w:val="ru-RU"/>
              </w:rPr>
              <w:t>IBAN UA023365030000026001300018152</w:t>
            </w:r>
          </w:p>
          <w:p w:rsidR="00C952F4" w:rsidRPr="00E336F0" w:rsidRDefault="00C952F4" w:rsidP="00C952F4">
            <w:pPr>
              <w:rPr>
                <w:lang w:val="ru-RU"/>
              </w:rPr>
            </w:pPr>
            <w:r w:rsidRPr="00E336F0">
              <w:rPr>
                <w:lang w:val="ru-RU"/>
              </w:rPr>
              <w:t xml:space="preserve">в ТВБВ 10008/0143 м.Івано-Франківська </w:t>
            </w:r>
          </w:p>
          <w:p w:rsidR="00C952F4" w:rsidRPr="00E336F0" w:rsidRDefault="00C952F4" w:rsidP="00C952F4">
            <w:pPr>
              <w:rPr>
                <w:lang w:val="ru-RU"/>
              </w:rPr>
            </w:pPr>
            <w:r w:rsidRPr="00E336F0">
              <w:rPr>
                <w:lang w:val="ru-RU"/>
              </w:rPr>
              <w:t xml:space="preserve">Філії Івано-Франківське </w:t>
            </w:r>
          </w:p>
          <w:p w:rsidR="00C952F4" w:rsidRPr="00E336F0" w:rsidRDefault="00C952F4" w:rsidP="00C952F4">
            <w:pPr>
              <w:rPr>
                <w:lang w:val="ru-RU"/>
              </w:rPr>
            </w:pPr>
            <w:r w:rsidRPr="00E336F0">
              <w:rPr>
                <w:lang w:val="ru-RU"/>
              </w:rPr>
              <w:t>обласне управління АТ "Ощадбанк"</w:t>
            </w:r>
          </w:p>
          <w:p w:rsidR="00C952F4" w:rsidRPr="00E336F0" w:rsidRDefault="00C952F4" w:rsidP="00C952F4">
            <w:pPr>
              <w:rPr>
                <w:lang w:val="ru-RU"/>
              </w:rPr>
            </w:pPr>
            <w:r w:rsidRPr="00E336F0">
              <w:rPr>
                <w:lang w:val="ru-RU"/>
              </w:rPr>
              <w:t>ЄДРПОУ 00131564</w:t>
            </w:r>
          </w:p>
          <w:p w:rsidR="00C952F4" w:rsidRPr="00E336F0" w:rsidRDefault="00C952F4" w:rsidP="00C952F4">
            <w:pPr>
              <w:rPr>
                <w:lang w:val="ru-RU"/>
              </w:rPr>
            </w:pPr>
            <w:r w:rsidRPr="00E336F0">
              <w:rPr>
                <w:lang w:val="ru-RU"/>
              </w:rPr>
              <w:t>ІПН 001315609158</w:t>
            </w:r>
          </w:p>
          <w:p w:rsidR="00C952F4" w:rsidRPr="00E336F0" w:rsidRDefault="00C952F4" w:rsidP="00C952F4">
            <w:pPr>
              <w:rPr>
                <w:lang w:val="ru-RU"/>
              </w:rPr>
            </w:pPr>
          </w:p>
          <w:p w:rsidR="00C952F4" w:rsidRPr="00E336F0" w:rsidRDefault="00C952F4" w:rsidP="00C952F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952F4" w:rsidRPr="00E336F0" w:rsidRDefault="00C952F4" w:rsidP="00C952F4">
            <w:pPr>
              <w:rPr>
                <w:b/>
                <w:lang w:val="ru-RU"/>
              </w:rPr>
            </w:pPr>
          </w:p>
          <w:p w:rsidR="00C952F4" w:rsidRPr="00E336F0" w:rsidRDefault="00C952F4" w:rsidP="00C952F4">
            <w:pPr>
              <w:rPr>
                <w:b/>
                <w:lang w:val="ru-RU"/>
              </w:rPr>
            </w:pPr>
          </w:p>
          <w:p w:rsidR="00C952F4" w:rsidRPr="00E336F0" w:rsidRDefault="00C952F4" w:rsidP="00C952F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952F4" w:rsidRPr="00E336F0" w:rsidRDefault="00C952F4" w:rsidP="00C952F4">
            <w:pPr>
              <w:rPr>
                <w:b/>
                <w:lang w:val="en-US"/>
              </w:rPr>
            </w:pPr>
            <w:r w:rsidRPr="00E336F0">
              <w:rPr>
                <w:b/>
                <w:lang w:val="ru-RU"/>
              </w:rPr>
              <w:t>М.П.</w:t>
            </w:r>
          </w:p>
          <w:p w:rsidR="00C952F4" w:rsidRPr="00E336F0" w:rsidRDefault="00C952F4" w:rsidP="00C952F4">
            <w:pPr>
              <w:rPr>
                <w:b/>
              </w:rPr>
            </w:pPr>
          </w:p>
        </w:tc>
      </w:tr>
    </w:tbl>
    <w:p w:rsidR="00C952F4" w:rsidRPr="00E336F0" w:rsidRDefault="00C952F4" w:rsidP="00C952F4">
      <w:pPr>
        <w:jc w:val="center"/>
        <w:rPr>
          <w:b/>
          <w:bCs/>
          <w:lang w:val="ru-RU"/>
        </w:rPr>
      </w:pPr>
    </w:p>
    <w:p w:rsidR="00C952F4" w:rsidRPr="00E336F0" w:rsidRDefault="00C952F4" w:rsidP="00C952F4"/>
    <w:p w:rsidR="00C952F4" w:rsidRPr="00E336F0" w:rsidRDefault="00C952F4" w:rsidP="00C952F4"/>
    <w:p w:rsidR="0057755D" w:rsidRDefault="0057755D" w:rsidP="0057755D"/>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lastRenderedPageBreak/>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C952F4" w:rsidRPr="00C509F9" w:rsidTr="00C952F4">
        <w:trPr>
          <w:trHeight w:val="673"/>
        </w:trPr>
        <w:tc>
          <w:tcPr>
            <w:tcW w:w="567" w:type="dxa"/>
            <w:tcBorders>
              <w:top w:val="double" w:sz="4" w:space="0" w:color="auto"/>
              <w:bottom w:val="single" w:sz="4" w:space="0" w:color="auto"/>
            </w:tcBorders>
            <w:vAlign w:val="center"/>
          </w:tcPr>
          <w:p w:rsidR="00C952F4" w:rsidRPr="00C509F9" w:rsidRDefault="00C952F4" w:rsidP="00C952F4">
            <w:pPr>
              <w:jc w:val="center"/>
              <w:rPr>
                <w:sz w:val="22"/>
                <w:szCs w:val="22"/>
              </w:rPr>
            </w:pPr>
            <w:r w:rsidRPr="00C509F9">
              <w:rPr>
                <w:sz w:val="22"/>
                <w:szCs w:val="22"/>
              </w:rPr>
              <w:t>1.</w:t>
            </w:r>
          </w:p>
        </w:tc>
        <w:tc>
          <w:tcPr>
            <w:tcW w:w="2835" w:type="dxa"/>
            <w:tcBorders>
              <w:top w:val="double" w:sz="4" w:space="0" w:color="auto"/>
              <w:bottom w:val="single" w:sz="4" w:space="0" w:color="auto"/>
            </w:tcBorders>
            <w:vAlign w:val="bottom"/>
          </w:tcPr>
          <w:p w:rsidR="00C952F4" w:rsidRDefault="00C952F4" w:rsidP="00C952F4">
            <w:pPr>
              <w:rPr>
                <w:rFonts w:ascii="Arial" w:hAnsi="Arial" w:cs="Arial"/>
                <w:sz w:val="20"/>
                <w:szCs w:val="20"/>
                <w:lang w:eastAsia="uk-UA"/>
              </w:rPr>
            </w:pPr>
            <w:r>
              <w:rPr>
                <w:rFonts w:ascii="Arial" w:hAnsi="Arial" w:cs="Arial"/>
                <w:sz w:val="20"/>
                <w:szCs w:val="20"/>
              </w:rPr>
              <w:t>Опора дерев'яна 6,5м</w:t>
            </w:r>
          </w:p>
        </w:tc>
        <w:tc>
          <w:tcPr>
            <w:tcW w:w="850" w:type="dxa"/>
            <w:tcBorders>
              <w:top w:val="double" w:sz="4" w:space="0" w:color="auto"/>
              <w:bottom w:val="single" w:sz="4" w:space="0" w:color="auto"/>
            </w:tcBorders>
            <w:vAlign w:val="center"/>
          </w:tcPr>
          <w:p w:rsidR="00C952F4" w:rsidRDefault="00C952F4" w:rsidP="00C952F4">
            <w:pPr>
              <w:jc w:val="center"/>
              <w:rPr>
                <w:rFonts w:ascii="Arial" w:hAnsi="Arial" w:cs="Arial"/>
                <w:sz w:val="20"/>
                <w:szCs w:val="20"/>
              </w:rPr>
            </w:pPr>
            <w:r>
              <w:rPr>
                <w:rFonts w:ascii="Arial" w:hAnsi="Arial" w:cs="Arial"/>
                <w:sz w:val="20"/>
                <w:szCs w:val="20"/>
              </w:rPr>
              <w:t>шт</w:t>
            </w:r>
          </w:p>
        </w:tc>
        <w:tc>
          <w:tcPr>
            <w:tcW w:w="993" w:type="dxa"/>
            <w:tcBorders>
              <w:top w:val="double" w:sz="4" w:space="0" w:color="auto"/>
              <w:bottom w:val="single" w:sz="4" w:space="0" w:color="auto"/>
            </w:tcBorders>
            <w:vAlign w:val="center"/>
          </w:tcPr>
          <w:p w:rsidR="00C952F4" w:rsidRDefault="00C952F4" w:rsidP="00C952F4">
            <w:pPr>
              <w:jc w:val="right"/>
              <w:rPr>
                <w:rFonts w:ascii="Arial" w:hAnsi="Arial" w:cs="Arial"/>
                <w:sz w:val="20"/>
                <w:szCs w:val="20"/>
              </w:rPr>
            </w:pPr>
            <w:r>
              <w:rPr>
                <w:rFonts w:ascii="Arial" w:hAnsi="Arial" w:cs="Arial"/>
                <w:sz w:val="20"/>
                <w:szCs w:val="20"/>
              </w:rPr>
              <w:t>2 000</w:t>
            </w:r>
          </w:p>
        </w:tc>
        <w:tc>
          <w:tcPr>
            <w:tcW w:w="1276" w:type="dxa"/>
            <w:tcBorders>
              <w:top w:val="double" w:sz="4" w:space="0" w:color="auto"/>
              <w:bottom w:val="single" w:sz="4" w:space="0" w:color="auto"/>
            </w:tcBorders>
            <w:vAlign w:val="center"/>
          </w:tcPr>
          <w:p w:rsidR="00C952F4" w:rsidRPr="00C509F9" w:rsidRDefault="00C952F4" w:rsidP="00C952F4">
            <w:pPr>
              <w:jc w:val="center"/>
              <w:rPr>
                <w:sz w:val="22"/>
                <w:szCs w:val="22"/>
              </w:rPr>
            </w:pPr>
          </w:p>
        </w:tc>
        <w:tc>
          <w:tcPr>
            <w:tcW w:w="1260" w:type="dxa"/>
            <w:tcBorders>
              <w:top w:val="double" w:sz="4" w:space="0" w:color="auto"/>
              <w:bottom w:val="single" w:sz="4" w:space="0" w:color="auto"/>
            </w:tcBorders>
            <w:vAlign w:val="center"/>
          </w:tcPr>
          <w:p w:rsidR="00C952F4" w:rsidRPr="00C509F9" w:rsidRDefault="00C952F4" w:rsidP="00C952F4">
            <w:pPr>
              <w:jc w:val="center"/>
              <w:rPr>
                <w:sz w:val="22"/>
                <w:szCs w:val="22"/>
              </w:rPr>
            </w:pPr>
          </w:p>
        </w:tc>
        <w:tc>
          <w:tcPr>
            <w:tcW w:w="1717" w:type="dxa"/>
            <w:tcBorders>
              <w:top w:val="double" w:sz="4" w:space="0" w:color="auto"/>
              <w:bottom w:val="single" w:sz="4" w:space="0" w:color="auto"/>
            </w:tcBorders>
            <w:vAlign w:val="center"/>
          </w:tcPr>
          <w:p w:rsidR="00C952F4" w:rsidRPr="00C509F9" w:rsidRDefault="00C952F4" w:rsidP="00C952F4">
            <w:pPr>
              <w:jc w:val="center"/>
              <w:rPr>
                <w:sz w:val="22"/>
                <w:szCs w:val="22"/>
              </w:rPr>
            </w:pPr>
          </w:p>
        </w:tc>
      </w:tr>
      <w:tr w:rsidR="00C952F4" w:rsidRPr="00C509F9" w:rsidTr="00C952F4">
        <w:trPr>
          <w:trHeight w:val="800"/>
        </w:trPr>
        <w:tc>
          <w:tcPr>
            <w:tcW w:w="567" w:type="dxa"/>
            <w:tcBorders>
              <w:top w:val="single" w:sz="4" w:space="0" w:color="auto"/>
              <w:bottom w:val="single" w:sz="4" w:space="0" w:color="auto"/>
            </w:tcBorders>
            <w:vAlign w:val="center"/>
          </w:tcPr>
          <w:p w:rsidR="00C952F4" w:rsidRPr="00C509F9" w:rsidRDefault="00C952F4" w:rsidP="00C952F4">
            <w:pPr>
              <w:jc w:val="center"/>
              <w:rPr>
                <w:sz w:val="22"/>
                <w:szCs w:val="22"/>
              </w:rPr>
            </w:pPr>
            <w:r w:rsidRPr="00C509F9">
              <w:rPr>
                <w:sz w:val="22"/>
                <w:szCs w:val="22"/>
              </w:rPr>
              <w:t>2.</w:t>
            </w:r>
          </w:p>
        </w:tc>
        <w:tc>
          <w:tcPr>
            <w:tcW w:w="2835" w:type="dxa"/>
            <w:tcBorders>
              <w:top w:val="single" w:sz="4" w:space="0" w:color="auto"/>
              <w:bottom w:val="single" w:sz="4" w:space="0" w:color="auto"/>
            </w:tcBorders>
            <w:vAlign w:val="bottom"/>
          </w:tcPr>
          <w:p w:rsidR="00C952F4" w:rsidRDefault="00C952F4" w:rsidP="00C952F4">
            <w:pPr>
              <w:rPr>
                <w:rFonts w:ascii="Arial" w:hAnsi="Arial" w:cs="Arial"/>
                <w:sz w:val="20"/>
                <w:szCs w:val="20"/>
              </w:rPr>
            </w:pPr>
            <w:r>
              <w:rPr>
                <w:rFonts w:ascii="Arial" w:hAnsi="Arial" w:cs="Arial"/>
                <w:sz w:val="20"/>
                <w:szCs w:val="20"/>
              </w:rPr>
              <w:t>Опора дерев'яна 9,0 м</w:t>
            </w:r>
          </w:p>
        </w:tc>
        <w:tc>
          <w:tcPr>
            <w:tcW w:w="850" w:type="dxa"/>
            <w:tcBorders>
              <w:top w:val="single" w:sz="4" w:space="0" w:color="auto"/>
              <w:bottom w:val="single" w:sz="4" w:space="0" w:color="auto"/>
            </w:tcBorders>
            <w:vAlign w:val="center"/>
          </w:tcPr>
          <w:p w:rsidR="00C952F4" w:rsidRDefault="00C952F4" w:rsidP="00C952F4">
            <w:pPr>
              <w:jc w:val="center"/>
              <w:rPr>
                <w:rFonts w:ascii="Arial" w:hAnsi="Arial" w:cs="Arial"/>
                <w:sz w:val="20"/>
                <w:szCs w:val="20"/>
              </w:rPr>
            </w:pPr>
            <w:r>
              <w:rPr>
                <w:rFonts w:ascii="Arial" w:hAnsi="Arial" w:cs="Arial"/>
                <w:sz w:val="20"/>
                <w:szCs w:val="20"/>
              </w:rPr>
              <w:t>шт</w:t>
            </w:r>
          </w:p>
        </w:tc>
        <w:tc>
          <w:tcPr>
            <w:tcW w:w="993" w:type="dxa"/>
            <w:tcBorders>
              <w:top w:val="single" w:sz="4" w:space="0" w:color="auto"/>
              <w:bottom w:val="single" w:sz="4" w:space="0" w:color="auto"/>
            </w:tcBorders>
            <w:vAlign w:val="center"/>
          </w:tcPr>
          <w:p w:rsidR="00C952F4" w:rsidRDefault="00C952F4" w:rsidP="00C952F4">
            <w:pPr>
              <w:jc w:val="right"/>
              <w:rPr>
                <w:rFonts w:ascii="Arial" w:hAnsi="Arial" w:cs="Arial"/>
                <w:sz w:val="20"/>
                <w:szCs w:val="20"/>
              </w:rPr>
            </w:pPr>
            <w:r>
              <w:rPr>
                <w:rFonts w:ascii="Arial" w:hAnsi="Arial" w:cs="Arial"/>
                <w:sz w:val="20"/>
                <w:szCs w:val="20"/>
              </w:rPr>
              <w:t>100</w:t>
            </w:r>
          </w:p>
        </w:tc>
        <w:tc>
          <w:tcPr>
            <w:tcW w:w="1276" w:type="dxa"/>
            <w:tcBorders>
              <w:top w:val="single" w:sz="4" w:space="0" w:color="auto"/>
              <w:bottom w:val="single" w:sz="4" w:space="0" w:color="auto"/>
            </w:tcBorders>
            <w:vAlign w:val="center"/>
          </w:tcPr>
          <w:p w:rsidR="00C952F4" w:rsidRPr="00C509F9" w:rsidRDefault="00C952F4" w:rsidP="00C952F4">
            <w:pPr>
              <w:jc w:val="center"/>
              <w:rPr>
                <w:sz w:val="22"/>
                <w:szCs w:val="22"/>
              </w:rPr>
            </w:pPr>
          </w:p>
        </w:tc>
        <w:tc>
          <w:tcPr>
            <w:tcW w:w="1260" w:type="dxa"/>
            <w:tcBorders>
              <w:top w:val="single" w:sz="4" w:space="0" w:color="auto"/>
              <w:bottom w:val="single" w:sz="4" w:space="0" w:color="auto"/>
            </w:tcBorders>
            <w:vAlign w:val="center"/>
          </w:tcPr>
          <w:p w:rsidR="00C952F4" w:rsidRPr="00C509F9" w:rsidRDefault="00C952F4" w:rsidP="00C952F4">
            <w:pPr>
              <w:jc w:val="center"/>
              <w:rPr>
                <w:sz w:val="22"/>
                <w:szCs w:val="22"/>
              </w:rPr>
            </w:pPr>
          </w:p>
        </w:tc>
        <w:tc>
          <w:tcPr>
            <w:tcW w:w="1717" w:type="dxa"/>
            <w:tcBorders>
              <w:top w:val="single" w:sz="4" w:space="0" w:color="auto"/>
              <w:bottom w:val="single" w:sz="4" w:space="0" w:color="auto"/>
            </w:tcBorders>
            <w:vAlign w:val="center"/>
          </w:tcPr>
          <w:p w:rsidR="00C952F4" w:rsidRPr="00C509F9" w:rsidRDefault="00C952F4" w:rsidP="00C952F4">
            <w:pPr>
              <w:jc w:val="center"/>
              <w:rPr>
                <w:sz w:val="22"/>
                <w:szCs w:val="22"/>
              </w:rPr>
            </w:pPr>
          </w:p>
        </w:tc>
      </w:tr>
      <w:tr w:rsidR="0057755D" w:rsidRPr="00C509F9" w:rsidTr="00C952F4">
        <w:trPr>
          <w:trHeight w:val="800"/>
        </w:trPr>
        <w:tc>
          <w:tcPr>
            <w:tcW w:w="567" w:type="dxa"/>
            <w:tcBorders>
              <w:top w:val="single" w:sz="4" w:space="0" w:color="auto"/>
              <w:bottom w:val="double" w:sz="4" w:space="0" w:color="auto"/>
            </w:tcBorders>
            <w:vAlign w:val="center"/>
          </w:tcPr>
          <w:p w:rsidR="0057755D" w:rsidRPr="00C509F9" w:rsidRDefault="0057755D" w:rsidP="00C952F4">
            <w:pPr>
              <w:jc w:val="center"/>
              <w:rPr>
                <w:sz w:val="22"/>
                <w:szCs w:val="22"/>
              </w:rPr>
            </w:pPr>
            <w:r>
              <w:rPr>
                <w:sz w:val="22"/>
                <w:szCs w:val="22"/>
              </w:rPr>
              <w:t>3.</w:t>
            </w:r>
          </w:p>
        </w:tc>
        <w:tc>
          <w:tcPr>
            <w:tcW w:w="2835" w:type="dxa"/>
            <w:tcBorders>
              <w:top w:val="single" w:sz="4" w:space="0" w:color="auto"/>
              <w:bottom w:val="double" w:sz="4" w:space="0" w:color="auto"/>
            </w:tcBorders>
            <w:vAlign w:val="center"/>
          </w:tcPr>
          <w:p w:rsidR="0057755D" w:rsidRPr="009C7274" w:rsidRDefault="0057755D" w:rsidP="00C952F4">
            <w:pPr>
              <w:rPr>
                <w:sz w:val="20"/>
                <w:szCs w:val="20"/>
              </w:rPr>
            </w:pPr>
          </w:p>
        </w:tc>
        <w:tc>
          <w:tcPr>
            <w:tcW w:w="850" w:type="dxa"/>
            <w:tcBorders>
              <w:top w:val="single" w:sz="4" w:space="0" w:color="auto"/>
              <w:bottom w:val="double" w:sz="4" w:space="0" w:color="auto"/>
            </w:tcBorders>
            <w:vAlign w:val="center"/>
          </w:tcPr>
          <w:p w:rsidR="0057755D" w:rsidRPr="00C17D76" w:rsidRDefault="0057755D" w:rsidP="00C952F4">
            <w:pPr>
              <w:jc w:val="center"/>
            </w:pPr>
          </w:p>
        </w:tc>
        <w:tc>
          <w:tcPr>
            <w:tcW w:w="993" w:type="dxa"/>
            <w:tcBorders>
              <w:top w:val="single" w:sz="4" w:space="0" w:color="auto"/>
              <w:bottom w:val="double" w:sz="4" w:space="0" w:color="auto"/>
            </w:tcBorders>
            <w:vAlign w:val="center"/>
          </w:tcPr>
          <w:p w:rsidR="0057755D" w:rsidRDefault="0057755D" w:rsidP="00C952F4">
            <w:pPr>
              <w:jc w:val="center"/>
              <w:rPr>
                <w:sz w:val="20"/>
                <w:szCs w:val="20"/>
                <w:lang w:val="ru-RU"/>
              </w:rPr>
            </w:pPr>
          </w:p>
        </w:tc>
        <w:tc>
          <w:tcPr>
            <w:tcW w:w="1276" w:type="dxa"/>
            <w:tcBorders>
              <w:top w:val="single" w:sz="4" w:space="0" w:color="auto"/>
              <w:bottom w:val="double" w:sz="4" w:space="0" w:color="auto"/>
            </w:tcBorders>
            <w:vAlign w:val="center"/>
          </w:tcPr>
          <w:p w:rsidR="0057755D" w:rsidRPr="00C509F9" w:rsidRDefault="0057755D" w:rsidP="00C952F4">
            <w:pPr>
              <w:jc w:val="center"/>
              <w:rPr>
                <w:sz w:val="22"/>
                <w:szCs w:val="22"/>
              </w:rPr>
            </w:pPr>
          </w:p>
        </w:tc>
        <w:tc>
          <w:tcPr>
            <w:tcW w:w="1260" w:type="dxa"/>
            <w:tcBorders>
              <w:top w:val="single" w:sz="4" w:space="0" w:color="auto"/>
              <w:bottom w:val="double" w:sz="4" w:space="0" w:color="auto"/>
            </w:tcBorders>
            <w:vAlign w:val="center"/>
          </w:tcPr>
          <w:p w:rsidR="0057755D" w:rsidRPr="00C509F9" w:rsidRDefault="0057755D" w:rsidP="00C952F4">
            <w:pPr>
              <w:jc w:val="center"/>
              <w:rPr>
                <w:sz w:val="22"/>
                <w:szCs w:val="22"/>
              </w:rPr>
            </w:pPr>
          </w:p>
        </w:tc>
        <w:tc>
          <w:tcPr>
            <w:tcW w:w="1717" w:type="dxa"/>
            <w:tcBorders>
              <w:top w:val="single" w:sz="4" w:space="0" w:color="auto"/>
              <w:bottom w:val="double" w:sz="4" w:space="0" w:color="auto"/>
            </w:tcBorders>
            <w:vAlign w:val="center"/>
          </w:tcPr>
          <w:p w:rsidR="0057755D" w:rsidRPr="00C509F9" w:rsidRDefault="0057755D" w:rsidP="00C952F4">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w:t>
      </w:r>
      <w:r w:rsidRPr="005C1FDF">
        <w:rPr>
          <w:rFonts w:ascii="Times New Roman CYR" w:hAnsi="Times New Roman CYR" w:cs="Times New Roman CYR"/>
        </w:rPr>
        <w:lastRenderedPageBreak/>
        <w:t xml:space="preserve">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C952F4" w:rsidRPr="00C509F9" w:rsidTr="00C952F4">
        <w:trPr>
          <w:trHeight w:val="673"/>
        </w:trPr>
        <w:tc>
          <w:tcPr>
            <w:tcW w:w="567" w:type="dxa"/>
            <w:tcBorders>
              <w:top w:val="double" w:sz="4" w:space="0" w:color="auto"/>
              <w:bottom w:val="single" w:sz="4" w:space="0" w:color="auto"/>
            </w:tcBorders>
            <w:vAlign w:val="center"/>
          </w:tcPr>
          <w:p w:rsidR="00C952F4" w:rsidRPr="00C509F9" w:rsidRDefault="00C952F4" w:rsidP="00C952F4">
            <w:pPr>
              <w:jc w:val="center"/>
              <w:rPr>
                <w:sz w:val="22"/>
                <w:szCs w:val="22"/>
              </w:rPr>
            </w:pPr>
            <w:r w:rsidRPr="00C509F9">
              <w:rPr>
                <w:sz w:val="22"/>
                <w:szCs w:val="22"/>
              </w:rPr>
              <w:t>1.</w:t>
            </w:r>
          </w:p>
        </w:tc>
        <w:tc>
          <w:tcPr>
            <w:tcW w:w="3686" w:type="dxa"/>
            <w:tcBorders>
              <w:top w:val="double" w:sz="4" w:space="0" w:color="auto"/>
              <w:bottom w:val="single" w:sz="4" w:space="0" w:color="auto"/>
            </w:tcBorders>
            <w:vAlign w:val="bottom"/>
          </w:tcPr>
          <w:p w:rsidR="00C952F4" w:rsidRDefault="00C952F4" w:rsidP="00C952F4">
            <w:pPr>
              <w:rPr>
                <w:rFonts w:ascii="Arial" w:hAnsi="Arial" w:cs="Arial"/>
                <w:sz w:val="20"/>
                <w:szCs w:val="20"/>
                <w:lang w:eastAsia="uk-UA"/>
              </w:rPr>
            </w:pPr>
            <w:r>
              <w:rPr>
                <w:rFonts w:ascii="Arial" w:hAnsi="Arial" w:cs="Arial"/>
                <w:sz w:val="20"/>
                <w:szCs w:val="20"/>
              </w:rPr>
              <w:t>Опора дерев'яна 6,5м</w:t>
            </w:r>
          </w:p>
        </w:tc>
        <w:tc>
          <w:tcPr>
            <w:tcW w:w="850" w:type="dxa"/>
            <w:tcBorders>
              <w:top w:val="double" w:sz="4" w:space="0" w:color="auto"/>
              <w:bottom w:val="single" w:sz="4" w:space="0" w:color="auto"/>
            </w:tcBorders>
            <w:vAlign w:val="center"/>
          </w:tcPr>
          <w:p w:rsidR="00C952F4" w:rsidRDefault="00C952F4" w:rsidP="00C952F4">
            <w:pPr>
              <w:jc w:val="center"/>
              <w:rPr>
                <w:rFonts w:ascii="Arial" w:hAnsi="Arial" w:cs="Arial"/>
                <w:sz w:val="20"/>
                <w:szCs w:val="20"/>
              </w:rPr>
            </w:pPr>
            <w:r>
              <w:rPr>
                <w:rFonts w:ascii="Arial" w:hAnsi="Arial" w:cs="Arial"/>
                <w:sz w:val="20"/>
                <w:szCs w:val="20"/>
              </w:rPr>
              <w:t>шт</w:t>
            </w:r>
          </w:p>
        </w:tc>
        <w:tc>
          <w:tcPr>
            <w:tcW w:w="993" w:type="dxa"/>
            <w:tcBorders>
              <w:top w:val="double" w:sz="4" w:space="0" w:color="auto"/>
              <w:bottom w:val="single" w:sz="4" w:space="0" w:color="auto"/>
            </w:tcBorders>
            <w:vAlign w:val="center"/>
          </w:tcPr>
          <w:p w:rsidR="00C952F4" w:rsidRDefault="00C952F4" w:rsidP="00C952F4">
            <w:pPr>
              <w:jc w:val="right"/>
              <w:rPr>
                <w:rFonts w:ascii="Arial" w:hAnsi="Arial" w:cs="Arial"/>
                <w:sz w:val="20"/>
                <w:szCs w:val="20"/>
              </w:rPr>
            </w:pPr>
            <w:r>
              <w:rPr>
                <w:rFonts w:ascii="Arial" w:hAnsi="Arial" w:cs="Arial"/>
                <w:sz w:val="20"/>
                <w:szCs w:val="20"/>
              </w:rPr>
              <w:t>2 000</w:t>
            </w:r>
          </w:p>
        </w:tc>
        <w:tc>
          <w:tcPr>
            <w:tcW w:w="1276" w:type="dxa"/>
            <w:tcBorders>
              <w:top w:val="double" w:sz="4" w:space="0" w:color="auto"/>
              <w:bottom w:val="single" w:sz="4" w:space="0" w:color="auto"/>
            </w:tcBorders>
            <w:vAlign w:val="center"/>
          </w:tcPr>
          <w:p w:rsidR="00C952F4" w:rsidRPr="00C509F9" w:rsidRDefault="00C952F4" w:rsidP="00C952F4">
            <w:pPr>
              <w:jc w:val="center"/>
              <w:rPr>
                <w:sz w:val="22"/>
                <w:szCs w:val="22"/>
              </w:rPr>
            </w:pPr>
          </w:p>
        </w:tc>
        <w:tc>
          <w:tcPr>
            <w:tcW w:w="1260" w:type="dxa"/>
            <w:tcBorders>
              <w:top w:val="double" w:sz="4" w:space="0" w:color="auto"/>
              <w:bottom w:val="single" w:sz="4" w:space="0" w:color="auto"/>
            </w:tcBorders>
            <w:vAlign w:val="center"/>
          </w:tcPr>
          <w:p w:rsidR="00C952F4" w:rsidRPr="00C509F9" w:rsidRDefault="00C952F4" w:rsidP="00C952F4">
            <w:pPr>
              <w:jc w:val="center"/>
              <w:rPr>
                <w:sz w:val="22"/>
                <w:szCs w:val="22"/>
              </w:rPr>
            </w:pPr>
          </w:p>
        </w:tc>
        <w:tc>
          <w:tcPr>
            <w:tcW w:w="1717" w:type="dxa"/>
            <w:tcBorders>
              <w:top w:val="double" w:sz="4" w:space="0" w:color="auto"/>
              <w:bottom w:val="single" w:sz="4" w:space="0" w:color="auto"/>
            </w:tcBorders>
            <w:vAlign w:val="center"/>
          </w:tcPr>
          <w:p w:rsidR="00C952F4" w:rsidRPr="00C509F9" w:rsidRDefault="00C952F4" w:rsidP="00C952F4">
            <w:pPr>
              <w:jc w:val="center"/>
              <w:rPr>
                <w:sz w:val="22"/>
                <w:szCs w:val="22"/>
              </w:rPr>
            </w:pPr>
          </w:p>
        </w:tc>
      </w:tr>
      <w:tr w:rsidR="00C952F4" w:rsidRPr="00C509F9" w:rsidTr="00C952F4">
        <w:trPr>
          <w:trHeight w:val="800"/>
        </w:trPr>
        <w:tc>
          <w:tcPr>
            <w:tcW w:w="567" w:type="dxa"/>
            <w:tcBorders>
              <w:top w:val="single" w:sz="4" w:space="0" w:color="auto"/>
              <w:bottom w:val="single" w:sz="4" w:space="0" w:color="auto"/>
            </w:tcBorders>
            <w:vAlign w:val="center"/>
          </w:tcPr>
          <w:p w:rsidR="00C952F4" w:rsidRPr="00C509F9" w:rsidRDefault="00C952F4" w:rsidP="00C952F4">
            <w:pPr>
              <w:jc w:val="center"/>
              <w:rPr>
                <w:sz w:val="22"/>
                <w:szCs w:val="22"/>
              </w:rPr>
            </w:pPr>
            <w:r w:rsidRPr="00C509F9">
              <w:rPr>
                <w:sz w:val="22"/>
                <w:szCs w:val="22"/>
              </w:rPr>
              <w:t>2.</w:t>
            </w:r>
          </w:p>
        </w:tc>
        <w:tc>
          <w:tcPr>
            <w:tcW w:w="3686" w:type="dxa"/>
            <w:tcBorders>
              <w:top w:val="single" w:sz="4" w:space="0" w:color="auto"/>
              <w:bottom w:val="single" w:sz="4" w:space="0" w:color="auto"/>
            </w:tcBorders>
            <w:vAlign w:val="bottom"/>
          </w:tcPr>
          <w:p w:rsidR="00C952F4" w:rsidRDefault="00C952F4" w:rsidP="00C952F4">
            <w:pPr>
              <w:rPr>
                <w:rFonts w:ascii="Arial" w:hAnsi="Arial" w:cs="Arial"/>
                <w:sz w:val="20"/>
                <w:szCs w:val="20"/>
              </w:rPr>
            </w:pPr>
            <w:r>
              <w:rPr>
                <w:rFonts w:ascii="Arial" w:hAnsi="Arial" w:cs="Arial"/>
                <w:sz w:val="20"/>
                <w:szCs w:val="20"/>
              </w:rPr>
              <w:t>Опора дерев'яна 9,0 м</w:t>
            </w:r>
          </w:p>
        </w:tc>
        <w:tc>
          <w:tcPr>
            <w:tcW w:w="850" w:type="dxa"/>
            <w:tcBorders>
              <w:top w:val="single" w:sz="4" w:space="0" w:color="auto"/>
              <w:bottom w:val="single" w:sz="4" w:space="0" w:color="auto"/>
            </w:tcBorders>
            <w:vAlign w:val="center"/>
          </w:tcPr>
          <w:p w:rsidR="00C952F4" w:rsidRDefault="00C952F4" w:rsidP="00C952F4">
            <w:pPr>
              <w:jc w:val="center"/>
              <w:rPr>
                <w:rFonts w:ascii="Arial" w:hAnsi="Arial" w:cs="Arial"/>
                <w:sz w:val="20"/>
                <w:szCs w:val="20"/>
              </w:rPr>
            </w:pPr>
            <w:r>
              <w:rPr>
                <w:rFonts w:ascii="Arial" w:hAnsi="Arial" w:cs="Arial"/>
                <w:sz w:val="20"/>
                <w:szCs w:val="20"/>
              </w:rPr>
              <w:t>шт</w:t>
            </w:r>
          </w:p>
        </w:tc>
        <w:tc>
          <w:tcPr>
            <w:tcW w:w="993" w:type="dxa"/>
            <w:tcBorders>
              <w:top w:val="single" w:sz="4" w:space="0" w:color="auto"/>
              <w:bottom w:val="single" w:sz="4" w:space="0" w:color="auto"/>
            </w:tcBorders>
            <w:vAlign w:val="center"/>
          </w:tcPr>
          <w:p w:rsidR="00C952F4" w:rsidRDefault="00C952F4" w:rsidP="00C952F4">
            <w:pPr>
              <w:jc w:val="right"/>
              <w:rPr>
                <w:rFonts w:ascii="Arial" w:hAnsi="Arial" w:cs="Arial"/>
                <w:sz w:val="20"/>
                <w:szCs w:val="20"/>
              </w:rPr>
            </w:pPr>
            <w:r>
              <w:rPr>
                <w:rFonts w:ascii="Arial" w:hAnsi="Arial" w:cs="Arial"/>
                <w:sz w:val="20"/>
                <w:szCs w:val="20"/>
              </w:rPr>
              <w:t>100</w:t>
            </w:r>
          </w:p>
        </w:tc>
        <w:tc>
          <w:tcPr>
            <w:tcW w:w="1276" w:type="dxa"/>
            <w:tcBorders>
              <w:top w:val="single" w:sz="4" w:space="0" w:color="auto"/>
              <w:bottom w:val="single" w:sz="4" w:space="0" w:color="auto"/>
            </w:tcBorders>
            <w:vAlign w:val="center"/>
          </w:tcPr>
          <w:p w:rsidR="00C952F4" w:rsidRPr="00C509F9" w:rsidRDefault="00C952F4" w:rsidP="00C952F4">
            <w:pPr>
              <w:jc w:val="center"/>
              <w:rPr>
                <w:sz w:val="22"/>
                <w:szCs w:val="22"/>
              </w:rPr>
            </w:pPr>
          </w:p>
        </w:tc>
        <w:tc>
          <w:tcPr>
            <w:tcW w:w="1260" w:type="dxa"/>
            <w:tcBorders>
              <w:top w:val="single" w:sz="4" w:space="0" w:color="auto"/>
              <w:bottom w:val="single" w:sz="4" w:space="0" w:color="auto"/>
            </w:tcBorders>
            <w:vAlign w:val="center"/>
          </w:tcPr>
          <w:p w:rsidR="00C952F4" w:rsidRPr="00C509F9" w:rsidRDefault="00C952F4" w:rsidP="00C952F4">
            <w:pPr>
              <w:jc w:val="center"/>
              <w:rPr>
                <w:sz w:val="22"/>
                <w:szCs w:val="22"/>
              </w:rPr>
            </w:pPr>
          </w:p>
        </w:tc>
        <w:tc>
          <w:tcPr>
            <w:tcW w:w="1717" w:type="dxa"/>
            <w:tcBorders>
              <w:top w:val="single" w:sz="4" w:space="0" w:color="auto"/>
              <w:bottom w:val="single" w:sz="4" w:space="0" w:color="auto"/>
            </w:tcBorders>
            <w:vAlign w:val="center"/>
          </w:tcPr>
          <w:p w:rsidR="00C952F4" w:rsidRPr="00C509F9" w:rsidRDefault="00C952F4" w:rsidP="00C952F4">
            <w:pPr>
              <w:jc w:val="center"/>
              <w:rPr>
                <w:sz w:val="22"/>
                <w:szCs w:val="22"/>
              </w:rPr>
            </w:pPr>
          </w:p>
        </w:tc>
      </w:tr>
      <w:tr w:rsidR="0057755D" w:rsidRPr="00C509F9" w:rsidTr="00C952F4">
        <w:trPr>
          <w:trHeight w:val="800"/>
        </w:trPr>
        <w:tc>
          <w:tcPr>
            <w:tcW w:w="567" w:type="dxa"/>
            <w:tcBorders>
              <w:top w:val="single" w:sz="4" w:space="0" w:color="auto"/>
              <w:bottom w:val="double" w:sz="4" w:space="0" w:color="auto"/>
            </w:tcBorders>
            <w:vAlign w:val="center"/>
          </w:tcPr>
          <w:p w:rsidR="0057755D" w:rsidRPr="00C509F9" w:rsidRDefault="0057755D" w:rsidP="00C952F4">
            <w:pPr>
              <w:jc w:val="center"/>
              <w:rPr>
                <w:sz w:val="22"/>
                <w:szCs w:val="22"/>
              </w:rPr>
            </w:pPr>
            <w:r>
              <w:rPr>
                <w:sz w:val="22"/>
                <w:szCs w:val="22"/>
              </w:rPr>
              <w:t>3.</w:t>
            </w:r>
          </w:p>
        </w:tc>
        <w:tc>
          <w:tcPr>
            <w:tcW w:w="3686" w:type="dxa"/>
            <w:tcBorders>
              <w:top w:val="single" w:sz="4" w:space="0" w:color="auto"/>
              <w:bottom w:val="double" w:sz="4" w:space="0" w:color="auto"/>
            </w:tcBorders>
            <w:vAlign w:val="center"/>
          </w:tcPr>
          <w:p w:rsidR="0057755D" w:rsidRPr="009C7274" w:rsidRDefault="0057755D" w:rsidP="00C952F4">
            <w:pPr>
              <w:rPr>
                <w:sz w:val="20"/>
                <w:szCs w:val="20"/>
              </w:rPr>
            </w:pPr>
          </w:p>
        </w:tc>
        <w:tc>
          <w:tcPr>
            <w:tcW w:w="850" w:type="dxa"/>
            <w:tcBorders>
              <w:top w:val="single" w:sz="4" w:space="0" w:color="auto"/>
              <w:bottom w:val="double" w:sz="4" w:space="0" w:color="auto"/>
            </w:tcBorders>
            <w:vAlign w:val="center"/>
          </w:tcPr>
          <w:p w:rsidR="0057755D" w:rsidRPr="00C17D76" w:rsidRDefault="0057755D" w:rsidP="00C952F4">
            <w:pPr>
              <w:jc w:val="center"/>
            </w:pPr>
          </w:p>
        </w:tc>
        <w:tc>
          <w:tcPr>
            <w:tcW w:w="993" w:type="dxa"/>
            <w:tcBorders>
              <w:top w:val="single" w:sz="4" w:space="0" w:color="auto"/>
              <w:bottom w:val="double" w:sz="4" w:space="0" w:color="auto"/>
            </w:tcBorders>
            <w:vAlign w:val="center"/>
          </w:tcPr>
          <w:p w:rsidR="0057755D" w:rsidRDefault="0057755D" w:rsidP="00C952F4">
            <w:pPr>
              <w:jc w:val="center"/>
              <w:rPr>
                <w:sz w:val="20"/>
                <w:szCs w:val="20"/>
                <w:lang w:val="ru-RU"/>
              </w:rPr>
            </w:pPr>
          </w:p>
        </w:tc>
        <w:tc>
          <w:tcPr>
            <w:tcW w:w="1276" w:type="dxa"/>
            <w:tcBorders>
              <w:top w:val="single" w:sz="4" w:space="0" w:color="auto"/>
              <w:bottom w:val="double" w:sz="4" w:space="0" w:color="auto"/>
            </w:tcBorders>
            <w:vAlign w:val="center"/>
          </w:tcPr>
          <w:p w:rsidR="0057755D" w:rsidRPr="00C509F9" w:rsidRDefault="0057755D" w:rsidP="00C952F4">
            <w:pPr>
              <w:jc w:val="center"/>
              <w:rPr>
                <w:sz w:val="22"/>
                <w:szCs w:val="22"/>
              </w:rPr>
            </w:pPr>
          </w:p>
        </w:tc>
        <w:tc>
          <w:tcPr>
            <w:tcW w:w="1260" w:type="dxa"/>
            <w:tcBorders>
              <w:top w:val="single" w:sz="4" w:space="0" w:color="auto"/>
              <w:bottom w:val="double" w:sz="4" w:space="0" w:color="auto"/>
            </w:tcBorders>
            <w:vAlign w:val="center"/>
          </w:tcPr>
          <w:p w:rsidR="0057755D" w:rsidRPr="00C509F9" w:rsidRDefault="0057755D" w:rsidP="00C952F4">
            <w:pPr>
              <w:jc w:val="center"/>
              <w:rPr>
                <w:sz w:val="22"/>
                <w:szCs w:val="22"/>
              </w:rPr>
            </w:pPr>
          </w:p>
        </w:tc>
        <w:tc>
          <w:tcPr>
            <w:tcW w:w="1717" w:type="dxa"/>
            <w:tcBorders>
              <w:top w:val="single" w:sz="4" w:space="0" w:color="auto"/>
              <w:bottom w:val="double" w:sz="4" w:space="0" w:color="auto"/>
            </w:tcBorders>
            <w:vAlign w:val="center"/>
          </w:tcPr>
          <w:p w:rsidR="0057755D" w:rsidRPr="00C509F9" w:rsidRDefault="0057755D" w:rsidP="00C952F4">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lastRenderedPageBreak/>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Pr="005C1FDF" w:rsidRDefault="008F03DD" w:rsidP="008F03DD">
      <w:pPr>
        <w:tabs>
          <w:tab w:val="left" w:pos="3402"/>
          <w:tab w:val="left" w:pos="5954"/>
        </w:tabs>
        <w:jc w:val="center"/>
      </w:pPr>
      <w:r w:rsidRPr="005C1FDF">
        <w:tab/>
      </w:r>
      <w:r w:rsidRPr="005C1FDF">
        <w:tab/>
        <w:t>(останнє великими літерами), підпис)</w:t>
      </w:r>
    </w:p>
    <w:p w:rsidR="00574FA2" w:rsidRPr="005C1FDF" w:rsidRDefault="00574FA2" w:rsidP="00574FA2">
      <w:pPr>
        <w:widowControl w:val="0"/>
        <w:autoSpaceDE w:val="0"/>
        <w:ind w:firstLine="540"/>
        <w:jc w:val="both"/>
      </w:pPr>
    </w:p>
    <w:p w:rsidR="00574FA2" w:rsidRPr="005C1FDF" w:rsidRDefault="00574FA2" w:rsidP="00574FA2">
      <w:pPr>
        <w:widowControl w:val="0"/>
        <w:autoSpaceDE w:val="0"/>
        <w:ind w:firstLine="540"/>
        <w:jc w:val="both"/>
      </w:pPr>
    </w:p>
    <w:p w:rsidR="00574FA2" w:rsidRPr="005C1FDF" w:rsidRDefault="00574FA2" w:rsidP="00574FA2">
      <w:pPr>
        <w:jc w:val="both"/>
      </w:pP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p w:rsidR="0082721D" w:rsidRPr="008E5302" w:rsidRDefault="0082721D" w:rsidP="0082721D">
      <w:pPr>
        <w:suppressAutoHyphens/>
        <w:jc w:val="center"/>
        <w:rPr>
          <w:b/>
        </w:rPr>
      </w:pPr>
      <w:r>
        <w:rPr>
          <w:b/>
        </w:rPr>
        <w:t>Вимоги до технічних характеристик дерев</w:t>
      </w:r>
      <w:r w:rsidRPr="00D0771E">
        <w:rPr>
          <w:b/>
        </w:rPr>
        <w:t>'</w:t>
      </w:r>
      <w:r>
        <w:rPr>
          <w:b/>
        </w:rPr>
        <w:t>яних опор на ПЛ-0,4-10кВ</w:t>
      </w:r>
    </w:p>
    <w:p w:rsidR="0082721D" w:rsidRDefault="0082721D" w:rsidP="0082721D">
      <w:pPr>
        <w:jc w:val="both"/>
        <w:rPr>
          <w:bCs/>
        </w:rPr>
      </w:pPr>
    </w:p>
    <w:p w:rsidR="0082721D" w:rsidRPr="004C0BD2" w:rsidRDefault="0082721D" w:rsidP="0082721D">
      <w:pPr>
        <w:suppressAutoHyphens/>
        <w:rPr>
          <w:b/>
        </w:rPr>
      </w:pPr>
    </w:p>
    <w:p w:rsidR="0082721D" w:rsidRDefault="0082721D" w:rsidP="0082721D">
      <w:pPr>
        <w:ind w:left="360"/>
        <w:rPr>
          <w:b/>
        </w:rPr>
      </w:pPr>
      <w:r>
        <w:rPr>
          <w:b/>
        </w:rPr>
        <w:t xml:space="preserve">        1. </w:t>
      </w:r>
      <w:r w:rsidRPr="00D0771E">
        <w:rPr>
          <w:b/>
        </w:rPr>
        <w:t>Загальні вим</w:t>
      </w:r>
      <w:r>
        <w:rPr>
          <w:b/>
        </w:rPr>
        <w:t>оги до дерев'яних опор на ПЛ -0</w:t>
      </w:r>
      <w:r w:rsidRPr="00D0771E">
        <w:rPr>
          <w:b/>
        </w:rPr>
        <w:t>,4-10 кВ</w:t>
      </w:r>
    </w:p>
    <w:p w:rsidR="0082721D" w:rsidRPr="00634649" w:rsidRDefault="0082721D" w:rsidP="0082721D">
      <w:r w:rsidRPr="00634649">
        <w:t xml:space="preserve">       1.1. Дерев'яні опори на ПЛ -0,4-10 кВ повинні виготовлятися відповідно до вимог</w:t>
      </w:r>
      <w:r>
        <w:t xml:space="preserve"> </w:t>
      </w:r>
      <w:r w:rsidRPr="00634649">
        <w:t>ГОСТ 9463-88 , ГОСТ 20022.2-80, ГОСТ 20022.6-93, ГОСТ 20022.0</w:t>
      </w:r>
      <w:r>
        <w:t>-93.</w:t>
      </w:r>
      <w:r>
        <w:br/>
      </w:r>
      <w:r w:rsidRPr="00634649">
        <w:t xml:space="preserve">      1.</w:t>
      </w:r>
      <w:r>
        <w:t>2</w:t>
      </w:r>
      <w:r w:rsidRPr="00634649">
        <w:t>. Термін виготовлення - не раніше ніж за рік до моменту поставки.</w:t>
      </w:r>
      <w:r w:rsidRPr="00634649">
        <w:br/>
        <w:t xml:space="preserve">      1.4. Просочувальний склад дерев'яних опор повинен бути безпечний для людей і навколишнього середовища.</w:t>
      </w:r>
    </w:p>
    <w:p w:rsidR="0082721D" w:rsidRPr="00D0771E" w:rsidRDefault="0082721D" w:rsidP="0082721D">
      <w:pPr>
        <w:tabs>
          <w:tab w:val="left" w:pos="1276"/>
        </w:tabs>
        <w:suppressAutoHyphens/>
        <w:ind w:left="360"/>
        <w:jc w:val="both"/>
      </w:pPr>
    </w:p>
    <w:p w:rsidR="0082721D" w:rsidRDefault="0082721D" w:rsidP="0082721D">
      <w:pPr>
        <w:rPr>
          <w:b/>
        </w:rPr>
      </w:pPr>
      <w:r>
        <w:rPr>
          <w:b/>
        </w:rPr>
        <w:t xml:space="preserve">             </w:t>
      </w:r>
      <w:r w:rsidRPr="00D0771E">
        <w:rPr>
          <w:b/>
        </w:rPr>
        <w:t>2. Вимоги до деревини</w:t>
      </w:r>
    </w:p>
    <w:p w:rsidR="0082721D" w:rsidRDefault="0082721D" w:rsidP="0082721D">
      <w:pPr>
        <w:rPr>
          <w:b/>
        </w:rPr>
      </w:pPr>
      <w:r>
        <w:t xml:space="preserve">      2.1. Порода деревини - сосна</w:t>
      </w:r>
      <w:r w:rsidRPr="00D0771E">
        <w:t>, модрина</w:t>
      </w:r>
      <w:r>
        <w:t>, ялина, піхта, 1 за ГОСТ 9463-88, заготовленої в осінньо</w:t>
      </w:r>
      <w:r w:rsidRPr="00D0771E">
        <w:t>-зимовий період з окоренков</w:t>
      </w:r>
      <w:r>
        <w:t>ої</w:t>
      </w:r>
      <w:r w:rsidRPr="00D0771E">
        <w:t xml:space="preserve"> частини стовбура зростаючих дерев.</w:t>
      </w:r>
      <w:r w:rsidRPr="00D0771E">
        <w:br/>
      </w:r>
      <w:r>
        <w:t xml:space="preserve">      2.2</w:t>
      </w:r>
      <w:r w:rsidRPr="00D0771E">
        <w:t>. Конусність опори від основи до ве</w:t>
      </w:r>
      <w:r>
        <w:t>рхнього зрізу - плавна природна</w:t>
      </w:r>
      <w:r w:rsidRPr="00D0771E">
        <w:t>.</w:t>
      </w:r>
      <w:r w:rsidRPr="00D0771E">
        <w:br/>
      </w:r>
      <w:r>
        <w:t xml:space="preserve">      2.3</w:t>
      </w:r>
      <w:r w:rsidRPr="00D0771E">
        <w:t>. М</w:t>
      </w:r>
      <w:r>
        <w:t>еханічна обробка деталей опор (торцювання, свердління отворів , і т.д.</w:t>
      </w:r>
      <w:r w:rsidRPr="00D0771E">
        <w:t>) повинна проводитися до просочення. Допускається механічна обробка деталей з деревини після просочення з наступним триразовим нанесенням пензлем концентрованого розчину того ж антис</w:t>
      </w:r>
      <w:r>
        <w:t>ептика на голій поверхні</w:t>
      </w:r>
      <w:r w:rsidRPr="00D0771E">
        <w:t>.</w:t>
      </w:r>
      <w:r w:rsidRPr="00D0771E">
        <w:br/>
      </w:r>
      <w:r>
        <w:t xml:space="preserve">     2.4</w:t>
      </w:r>
      <w:r w:rsidRPr="00D0771E">
        <w:t>. Кривизна опори не більше 1,0 % для 1 сорту.</w:t>
      </w:r>
      <w:r w:rsidRPr="00D0771E">
        <w:br/>
      </w:r>
      <w:r>
        <w:t xml:space="preserve">     2.5</w:t>
      </w:r>
      <w:r w:rsidRPr="00D0771E">
        <w:t>. Наявність кори не допускається.</w:t>
      </w:r>
      <w:r w:rsidRPr="00D0771E">
        <w:br/>
      </w:r>
      <w:r>
        <w:t xml:space="preserve">     2.6</w:t>
      </w:r>
      <w:r w:rsidRPr="00D0771E">
        <w:t>. Гниль і ядрові грибні забарвлення не допускаються.</w:t>
      </w:r>
      <w:r w:rsidRPr="00D0771E">
        <w:br/>
      </w:r>
      <w:r>
        <w:t xml:space="preserve">     2.7</w:t>
      </w:r>
      <w:r w:rsidRPr="00D0771E">
        <w:t xml:space="preserve">. Червоточина з діаметром отворів більше </w:t>
      </w:r>
      <w:smartTag w:uri="urn:schemas-microsoft-com:office:smarttags" w:element="metricconverter">
        <w:smartTagPr>
          <w:attr w:name="ProductID" w:val="1,5 мм"/>
        </w:smartTagPr>
        <w:r w:rsidRPr="00D0771E">
          <w:t>1,5 мм</w:t>
        </w:r>
      </w:smartTag>
      <w:r w:rsidRPr="00D0771E">
        <w:t xml:space="preserve"> не допускається.</w:t>
      </w:r>
      <w:r w:rsidRPr="00D0771E">
        <w:br/>
      </w:r>
      <w:r>
        <w:t xml:space="preserve">     2.8. Механічні ушкодження, сухобокі</w:t>
      </w:r>
      <w:r w:rsidRPr="00D0771E">
        <w:t>сть і прор</w:t>
      </w:r>
      <w:r>
        <w:t>і</w:t>
      </w:r>
      <w:r w:rsidRPr="00D0771E">
        <w:t xml:space="preserve">сть допускаються глибиною до </w:t>
      </w:r>
      <w:smartTag w:uri="urn:schemas-microsoft-com:office:smarttags" w:element="metricconverter">
        <w:smartTagPr>
          <w:attr w:name="ProductID" w:val="10,0 мм"/>
        </w:smartTagPr>
        <w:r w:rsidRPr="00D0771E">
          <w:t>10,0 мм</w:t>
        </w:r>
      </w:smartTag>
      <w:r w:rsidRPr="00D0771E">
        <w:t>. Не допускається два пошкодження в одному по</w:t>
      </w:r>
      <w:r>
        <w:t>перечному перерізі деталей опор</w:t>
      </w:r>
      <w:r w:rsidRPr="00D0771E">
        <w:t>.</w:t>
      </w:r>
      <w:r w:rsidRPr="00D0771E">
        <w:br/>
      </w:r>
      <w:r>
        <w:t xml:space="preserve">     2.9</w:t>
      </w:r>
      <w:r w:rsidRPr="00D0771E">
        <w:t>. Ді</w:t>
      </w:r>
      <w:r>
        <w:t>аметр опори у верхньому торці 14-</w:t>
      </w:r>
      <w:smartTag w:uri="urn:schemas-microsoft-com:office:smarttags" w:element="metricconverter">
        <w:smartTagPr>
          <w:attr w:name="ProductID" w:val="16 мм"/>
        </w:smartTagPr>
        <w:r>
          <w:t>16</w:t>
        </w:r>
        <w:r w:rsidRPr="00D0771E">
          <w:t xml:space="preserve"> мм</w:t>
        </w:r>
      </w:smartTag>
      <w:r w:rsidRPr="00D0771E">
        <w:t>.</w:t>
      </w:r>
      <w:r w:rsidRPr="00D0771E">
        <w:br/>
      </w:r>
      <w:r w:rsidRPr="00D0771E">
        <w:br/>
      </w:r>
      <w:r>
        <w:rPr>
          <w:b/>
        </w:rPr>
        <w:t xml:space="preserve">            </w:t>
      </w:r>
      <w:r w:rsidRPr="007B6488">
        <w:rPr>
          <w:b/>
        </w:rPr>
        <w:t>3</w:t>
      </w:r>
      <w:r w:rsidRPr="00D0771E">
        <w:rPr>
          <w:b/>
        </w:rPr>
        <w:t>. Вимога до просочення</w:t>
      </w:r>
    </w:p>
    <w:p w:rsidR="0082721D" w:rsidRPr="00CB1A24" w:rsidRDefault="0082721D" w:rsidP="0082721D">
      <w:r>
        <w:lastRenderedPageBreak/>
        <w:t xml:space="preserve">     </w:t>
      </w:r>
      <w:r w:rsidRPr="00D0771E">
        <w:t>3.1</w:t>
      </w:r>
      <w:r>
        <w:t>.</w:t>
      </w:r>
      <w:r w:rsidRPr="00D0771E">
        <w:t xml:space="preserve"> Просочення виробів повинна</w:t>
      </w:r>
      <w:r>
        <w:t xml:space="preserve"> проводитися захисними засобами</w:t>
      </w:r>
      <w:r w:rsidRPr="00D0771E">
        <w:t>, дозвол</w:t>
      </w:r>
      <w:r>
        <w:t>еними органами охорони здоров'я</w:t>
      </w:r>
      <w:r w:rsidRPr="00D0771E">
        <w:t>. Клас захисног</w:t>
      </w:r>
      <w:r>
        <w:t>о засобу згідно ГОСТ 20022.2-80</w:t>
      </w:r>
      <w:r w:rsidRPr="00D0771E">
        <w:t>.</w:t>
      </w:r>
      <w:r w:rsidRPr="00D0771E">
        <w:br/>
      </w:r>
      <w:r>
        <w:t xml:space="preserve">     </w:t>
      </w:r>
      <w:r w:rsidRPr="00D0771E">
        <w:t>3.2</w:t>
      </w:r>
      <w:r>
        <w:t>. Поглинання (утримання</w:t>
      </w:r>
      <w:r w:rsidRPr="00D0771E">
        <w:t>) захисного засобу і глибина просочення повинні відп</w:t>
      </w:r>
      <w:r>
        <w:t>овідати вимогам ГОСТ 20022.0-80</w:t>
      </w:r>
      <w:r w:rsidRPr="00D0771E">
        <w:t>.</w:t>
      </w:r>
      <w:r w:rsidRPr="00D0771E">
        <w:br/>
      </w:r>
      <w:r>
        <w:t xml:space="preserve">     </w:t>
      </w:r>
      <w:r w:rsidRPr="00D0771E">
        <w:t>3.3</w:t>
      </w:r>
      <w:r>
        <w:t>.</w:t>
      </w:r>
      <w:r w:rsidRPr="00D0771E">
        <w:t xml:space="preserve"> Спосіб просочення і захисний засіб у відповідність до вимог ГОСТ - 20022.</w:t>
      </w:r>
      <w:r>
        <w:t>6 -93 для класу умов служби XII</w:t>
      </w:r>
      <w:r w:rsidRPr="00D0771E">
        <w:t>.</w:t>
      </w:r>
      <w:r w:rsidRPr="00D0771E">
        <w:br/>
      </w:r>
      <w:r>
        <w:t xml:space="preserve">     </w:t>
      </w:r>
      <w:r w:rsidRPr="00D0771E">
        <w:t>3.4</w:t>
      </w:r>
      <w:r>
        <w:t>.</w:t>
      </w:r>
      <w:r w:rsidRPr="00D0771E">
        <w:t xml:space="preserve"> Просочення мерзлої та обледеніл</w:t>
      </w:r>
      <w:r>
        <w:t>ої</w:t>
      </w:r>
      <w:r w:rsidRPr="00D0771E">
        <w:t xml:space="preserve"> деревини не допускається.</w:t>
      </w:r>
      <w:r w:rsidRPr="00D0771E">
        <w:br/>
      </w:r>
      <w:r>
        <w:rPr>
          <w:b/>
        </w:rPr>
        <w:t xml:space="preserve">           4</w:t>
      </w:r>
      <w:r w:rsidRPr="00D0771E">
        <w:rPr>
          <w:b/>
        </w:rPr>
        <w:t>. Нормативні посилання</w:t>
      </w:r>
    </w:p>
    <w:p w:rsidR="0082721D" w:rsidRDefault="0082721D" w:rsidP="0082721D">
      <w:pPr>
        <w:rPr>
          <w:b/>
        </w:rPr>
      </w:pPr>
      <w:r>
        <w:t xml:space="preserve">      Вимоги до дерев'яних опор ПЛ-0</w:t>
      </w:r>
      <w:r w:rsidRPr="00D0771E">
        <w:t>,4-10 кВ враховують основні вимоги таких стандартів:</w:t>
      </w:r>
      <w:r w:rsidRPr="00D0771E">
        <w:br/>
      </w:r>
      <w:r w:rsidRPr="00D0771E">
        <w:sym w:font="Symbol" w:char="F02D"/>
      </w:r>
      <w:r>
        <w:t xml:space="preserve"> ГОСТ 9463-88 «</w:t>
      </w:r>
      <w:r w:rsidRPr="00D0771E">
        <w:t>Лісоматеріали кругл</w:t>
      </w:r>
      <w:r>
        <w:t>і хвойних порід. Технічні умови</w:t>
      </w:r>
      <w:r w:rsidRPr="00D0771E">
        <w:t>».</w:t>
      </w:r>
      <w:r w:rsidRPr="00D0771E">
        <w:br/>
      </w:r>
      <w:r w:rsidRPr="00D0771E">
        <w:sym w:font="Symbol" w:char="F02D"/>
      </w:r>
      <w:r w:rsidRPr="00D0771E">
        <w:t xml:space="preserve"> ГОСТ 20022.2-80 «</w:t>
      </w:r>
      <w:r>
        <w:t>Захист деревини. Класифікація»</w:t>
      </w:r>
      <w:r w:rsidRPr="00D0771E">
        <w:t>.</w:t>
      </w:r>
      <w:r w:rsidRPr="00D0771E">
        <w:br/>
      </w:r>
      <w:r w:rsidRPr="00D0771E">
        <w:sym w:font="Symbol" w:char="F02D"/>
      </w:r>
      <w:r w:rsidRPr="00D0771E">
        <w:t xml:space="preserve"> ГОСТ 20022.6-93 «Захист деревини. Способи просочування».</w:t>
      </w:r>
      <w:r w:rsidRPr="00D0771E">
        <w:br/>
      </w:r>
      <w:r w:rsidRPr="00D0771E">
        <w:sym w:font="Symbol" w:char="F02D"/>
      </w:r>
      <w:r w:rsidRPr="00D0771E">
        <w:t xml:space="preserve"> ГОСТ 20022.0-93 «Захист деревини. Параметри захищеності».</w:t>
      </w:r>
      <w:r w:rsidRPr="00D0771E">
        <w:br/>
      </w:r>
      <w:r w:rsidRPr="00D0771E">
        <w:sym w:font="Symbol" w:char="F02D"/>
      </w:r>
      <w:r w:rsidRPr="00D0771E">
        <w:t xml:space="preserve"> </w:t>
      </w:r>
      <w:r>
        <w:t>БДі</w:t>
      </w:r>
      <w:r w:rsidRPr="00D0771E">
        <w:t>П ІІ -25 -80 «Будівельні норми і правила</w:t>
      </w:r>
      <w:r>
        <w:t>. Частина ІІ Норми проектування</w:t>
      </w:r>
      <w:r w:rsidRPr="00D0771E">
        <w:t>.</w:t>
      </w:r>
      <w:r>
        <w:t xml:space="preserve"> Глава 25 Дерев'яні конструкції</w:t>
      </w:r>
      <w:r w:rsidRPr="00D0771E">
        <w:t>»</w:t>
      </w:r>
      <w:r w:rsidRPr="00D0771E">
        <w:br/>
      </w:r>
      <w:r w:rsidRPr="008E5302">
        <w:rPr>
          <w:b/>
        </w:rPr>
        <w:t>     </w:t>
      </w:r>
      <w:r>
        <w:rPr>
          <w:b/>
        </w:rPr>
        <w:t xml:space="preserve">   </w:t>
      </w:r>
      <w:r w:rsidRPr="008E5302">
        <w:rPr>
          <w:b/>
        </w:rPr>
        <w:t> </w:t>
      </w:r>
      <w:r>
        <w:rPr>
          <w:b/>
        </w:rPr>
        <w:t xml:space="preserve">  5</w:t>
      </w:r>
      <w:r w:rsidRPr="008E5302">
        <w:rPr>
          <w:b/>
        </w:rPr>
        <w:t>.</w:t>
      </w:r>
      <w:r>
        <w:rPr>
          <w:b/>
        </w:rPr>
        <w:t xml:space="preserve"> Термін експлуатації</w:t>
      </w:r>
    </w:p>
    <w:p w:rsidR="0082721D" w:rsidRDefault="0082721D" w:rsidP="0082721D">
      <w:r w:rsidRPr="007B6488">
        <w:t>С</w:t>
      </w:r>
      <w:r>
        <w:t>е</w:t>
      </w:r>
      <w:r w:rsidRPr="007B6488">
        <w:t xml:space="preserve">редній </w:t>
      </w:r>
      <w:r w:rsidRPr="0035700A">
        <w:t>термі</w:t>
      </w:r>
      <w:r>
        <w:t>н</w:t>
      </w:r>
      <w:r w:rsidRPr="0035700A">
        <w:t xml:space="preserve"> експлуатації</w:t>
      </w:r>
      <w:r>
        <w:t xml:space="preserve"> дерев'яних опор для ПЛ -0,4-10 кВ</w:t>
      </w:r>
      <w:r w:rsidRPr="007B6488">
        <w:t>, згі</w:t>
      </w:r>
      <w:r>
        <w:t>дно з ГОСТ 9463-88 - не менше 40-45 років</w:t>
      </w:r>
      <w:r w:rsidRPr="007B6488">
        <w:t>.</w:t>
      </w:r>
    </w:p>
    <w:p w:rsidR="0082721D" w:rsidRDefault="0082721D" w:rsidP="0082721D">
      <w:r>
        <w:rPr>
          <w:b/>
        </w:rPr>
        <w:t xml:space="preserve">         </w:t>
      </w:r>
      <w:r w:rsidRPr="008E5302">
        <w:rPr>
          <w:b/>
        </w:rPr>
        <w:t> </w:t>
      </w:r>
      <w:r>
        <w:rPr>
          <w:b/>
        </w:rPr>
        <w:t>7</w:t>
      </w:r>
      <w:r w:rsidRPr="008E5302">
        <w:rPr>
          <w:b/>
        </w:rPr>
        <w:t>.</w:t>
      </w:r>
      <w:r>
        <w:rPr>
          <w:b/>
        </w:rPr>
        <w:t xml:space="preserve"> </w:t>
      </w:r>
      <w:r w:rsidRPr="008E5302">
        <w:rPr>
          <w:b/>
        </w:rPr>
        <w:t>Гарантійне зобов'язання</w:t>
      </w:r>
      <w:r w:rsidRPr="007B6488">
        <w:br/>
      </w:r>
      <w:r>
        <w:t xml:space="preserve">     </w:t>
      </w:r>
      <w:r w:rsidRPr="007B6488">
        <w:t>8.1 . Гарантійний термін служби не менше 5 років з моменту виготовлення.</w:t>
      </w:r>
      <w:r w:rsidRPr="007B6488">
        <w:br/>
        <w:t> </w:t>
      </w:r>
      <w:r>
        <w:t xml:space="preserve">    </w:t>
      </w:r>
      <w:r w:rsidRPr="007B6488">
        <w:t>8.2.</w:t>
      </w:r>
      <w:r>
        <w:t xml:space="preserve"> </w:t>
      </w:r>
      <w:r w:rsidRPr="007B6488">
        <w:t>Поста</w:t>
      </w:r>
      <w:r>
        <w:t>чальник</w:t>
      </w:r>
      <w:r w:rsidRPr="007B6488">
        <w:t xml:space="preserve"> повинен за свій рахунок і</w:t>
      </w:r>
      <w:r>
        <w:t xml:space="preserve"> у терміни, узгоджені з Замовником, усувати будь-які </w:t>
      </w:r>
      <w:r w:rsidRPr="007B6488">
        <w:t>дефек</w:t>
      </w:r>
      <w:r>
        <w:t>ти, що сталися з вини Постачальника</w:t>
      </w:r>
      <w:r w:rsidRPr="007B6488">
        <w:t>, виявле</w:t>
      </w:r>
      <w:r>
        <w:t>ні протягом гарантійного строку</w:t>
      </w:r>
      <w:r w:rsidRPr="007B6488">
        <w:t>, а так</w:t>
      </w:r>
      <w:r>
        <w:t xml:space="preserve">ож </w:t>
      </w:r>
      <w:r w:rsidRPr="007B6488">
        <w:t>оплатити всі витрати по заміні постав</w:t>
      </w:r>
      <w:r>
        <w:t>лених дефектних дерев'яних опор.</w:t>
      </w:r>
      <w:r>
        <w:br/>
      </w:r>
    </w:p>
    <w:p w:rsidR="00DB052C" w:rsidRDefault="00DB052C" w:rsidP="002272C1">
      <w:pPr>
        <w:jc w:val="center"/>
        <w:rPr>
          <w:b/>
        </w:rPr>
      </w:pPr>
      <w:bookmarkStart w:id="5" w:name="_GoBack"/>
      <w:bookmarkEnd w:id="5"/>
    </w:p>
    <w:p w:rsidR="0057755D" w:rsidRPr="005C1FDF" w:rsidRDefault="0057755D" w:rsidP="00E709A2">
      <w:pPr>
        <w:jc w:val="right"/>
        <w:rPr>
          <w:b/>
          <w:bCs/>
        </w:rPr>
      </w:pPr>
    </w:p>
    <w:sectPr w:rsidR="0057755D" w:rsidRPr="005C1FDF" w:rsidSect="00C27B17">
      <w:footerReference w:type="default" r:id="rId29"/>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5D" w:rsidRDefault="00B10E5D">
      <w:r>
        <w:separator/>
      </w:r>
    </w:p>
  </w:endnote>
  <w:endnote w:type="continuationSeparator" w:id="0">
    <w:p w:rsidR="00B10E5D" w:rsidRDefault="00B1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4" w:rsidRDefault="00C952F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952F4" w:rsidRDefault="00C952F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4" w:rsidRDefault="00C952F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721D">
      <w:rPr>
        <w:rStyle w:val="a9"/>
        <w:noProof/>
      </w:rPr>
      <w:t>38</w:t>
    </w:r>
    <w:r>
      <w:rPr>
        <w:rStyle w:val="a9"/>
      </w:rPr>
      <w:fldChar w:fldCharType="end"/>
    </w:r>
  </w:p>
  <w:p w:rsidR="00C952F4" w:rsidRDefault="00C952F4" w:rsidP="007A4B6C">
    <w:pPr>
      <w:pStyle w:val="a5"/>
      <w:framePr w:wrap="around" w:vAnchor="text" w:hAnchor="margin" w:xAlign="right" w:y="1"/>
      <w:jc w:val="center"/>
      <w:rPr>
        <w:rStyle w:val="a9"/>
      </w:rPr>
    </w:pPr>
  </w:p>
  <w:p w:rsidR="00C952F4" w:rsidRDefault="00C952F4" w:rsidP="009B0AC3">
    <w:pPr>
      <w:pStyle w:val="a5"/>
      <w:framePr w:wrap="around" w:vAnchor="text" w:hAnchor="margin" w:y="1"/>
      <w:ind w:right="360"/>
      <w:rPr>
        <w:rStyle w:val="a9"/>
      </w:rPr>
    </w:pPr>
  </w:p>
  <w:p w:rsidR="00C952F4" w:rsidRDefault="00C952F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4" w:rsidRDefault="00C952F4">
    <w:pPr>
      <w:pStyle w:val="a5"/>
      <w:jc w:val="center"/>
    </w:pPr>
    <w:r>
      <w:fldChar w:fldCharType="begin"/>
    </w:r>
    <w:r>
      <w:instrText xml:space="preserve"> PAGE   \* MERGEFORMAT </w:instrText>
    </w:r>
    <w:r>
      <w:fldChar w:fldCharType="separate"/>
    </w:r>
    <w:r w:rsidR="0082721D">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5D" w:rsidRDefault="00B10E5D">
      <w:r>
        <w:separator/>
      </w:r>
    </w:p>
  </w:footnote>
  <w:footnote w:type="continuationSeparator" w:id="0">
    <w:p w:rsidR="00B10E5D" w:rsidRDefault="00B10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8"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1"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6"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2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4"/>
  </w:num>
  <w:num w:numId="3">
    <w:abstractNumId w:val="6"/>
  </w:num>
  <w:num w:numId="4">
    <w:abstractNumId w:val="21"/>
  </w:num>
  <w:num w:numId="5">
    <w:abstractNumId w:val="12"/>
  </w:num>
  <w:num w:numId="6">
    <w:abstractNumId w:val="25"/>
  </w:num>
  <w:num w:numId="7">
    <w:abstractNumId w:val="27"/>
  </w:num>
  <w:num w:numId="8">
    <w:abstractNumId w:val="5"/>
  </w:num>
  <w:num w:numId="9">
    <w:abstractNumId w:val="20"/>
  </w:num>
  <w:num w:numId="10">
    <w:abstractNumId w:val="8"/>
  </w:num>
  <w:num w:numId="11">
    <w:abstractNumId w:val="11"/>
  </w:num>
  <w:num w:numId="12">
    <w:abstractNumId w:val="17"/>
  </w:num>
  <w:num w:numId="13">
    <w:abstractNumId w:val="3"/>
  </w:num>
  <w:num w:numId="14">
    <w:abstractNumId w:val="24"/>
  </w:num>
  <w:num w:numId="15">
    <w:abstractNumId w:val="23"/>
  </w:num>
  <w:num w:numId="16">
    <w:abstractNumId w:val="19"/>
  </w:num>
  <w:num w:numId="17">
    <w:abstractNumId w:val="22"/>
  </w:num>
  <w:num w:numId="18">
    <w:abstractNumId w:val="10"/>
  </w:num>
  <w:num w:numId="19">
    <w:abstractNumId w:val="16"/>
  </w:num>
  <w:num w:numId="20">
    <w:abstractNumId w:val="26"/>
  </w:num>
  <w:num w:numId="21">
    <w:abstractNumId w:val="13"/>
  </w:num>
  <w:num w:numId="22">
    <w:abstractNumId w:val="15"/>
  </w:num>
  <w:num w:numId="23">
    <w:abstractNumId w:val="18"/>
  </w:num>
  <w:num w:numId="24">
    <w:abstractNumId w:val="14"/>
  </w:num>
  <w:num w:numId="25">
    <w:abstractNumId w:val="28"/>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0E5D"/>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5601C6"/>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vytiah.mvs.gov.ua/app/land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1977-20" TargetMode="External"/><Relationship Id="rId10" Type="http://schemas.openxmlformats.org/officeDocument/2006/relationships/hyperlink" Target="https://zakon.rada.gov.ua/laws/show/922-19" TargetMode="External"/><Relationship Id="rId19" Type="http://schemas.openxmlformats.org/officeDocument/2006/relationships/hyperlink" Target="https://vytiah.mvs.gov.ua/app/checkStat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B17B-BA39-4827-ABF0-A72A8F67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87593</Words>
  <Characters>49929</Characters>
  <Application>Microsoft Office Word</Application>
  <DocSecurity>0</DocSecurity>
  <Lines>416</Lines>
  <Paragraphs>274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2022-11-24T14:23:00Z</dcterms:created>
  <dcterms:modified xsi:type="dcterms:W3CDTF">2022-11-24T14:23:00Z</dcterms:modified>
</cp:coreProperties>
</file>