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ІНФОРМАЦІЯ ПРО НЕОБХІДНІ ТЕХНІЧНІ,</w:t>
      </w:r>
    </w:p>
    <w:p>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ЯКІСНІ ТА КІЛЬКІСНІ ХАРАКТЕРИСТИКИ ПРЕДМЕТА ЗАКУПІВЛІ</w:t>
      </w:r>
    </w:p>
    <w:p>
      <w:pPr>
        <w:spacing w:after="0" w:line="240" w:lineRule="auto"/>
        <w:ind w:firstLine="708"/>
        <w:jc w:val="both"/>
        <w:rPr>
          <w:rFonts w:hint="default" w:ascii="Times New Roman" w:hAnsi="Times New Roman" w:eastAsia="Times New Roman" w:cs="Times New Roman"/>
          <w:sz w:val="24"/>
          <w:szCs w:val="24"/>
          <w:lang w:val="uk-UA" w:eastAsia="ru-RU"/>
        </w:rPr>
      </w:pPr>
      <w:r>
        <w:rPr>
          <w:rFonts w:hint="default" w:ascii="Times New Roman" w:hAnsi="Times New Roman" w:eastAsia="Times New Roman" w:cs="Times New Roman"/>
          <w:b/>
          <w:sz w:val="24"/>
          <w:szCs w:val="24"/>
          <w:lang w:val="uk-UA" w:eastAsia="ru-RU"/>
        </w:rPr>
        <w:t xml:space="preserve">Мета послуги: </w:t>
      </w:r>
      <w:r>
        <w:rPr>
          <w:rFonts w:hint="default" w:ascii="Times New Roman" w:hAnsi="Times New Roman" w:eastAsia="Times New Roman" w:cs="Times New Roman"/>
          <w:sz w:val="24"/>
          <w:szCs w:val="24"/>
          <w:lang w:val="uk-UA" w:eastAsia="ru-RU"/>
        </w:rPr>
        <w:t xml:space="preserve">обмеження поширення пожежі в будівлях, матеріалом конструктивних елементів дахів, яких є деревина. В будівлях дерев’яні конструкції покрівель повинні оброблятися засобами вогнезахисту відповідно до вимог п. 6.23. ДБН В.1.1-7-2016 «Пожежна безпека об’єктів будівництва» та п. 2.5. глави 2 розділу </w:t>
      </w:r>
      <w:r>
        <w:rPr>
          <w:rFonts w:hint="default" w:ascii="Times New Roman" w:hAnsi="Times New Roman" w:eastAsia="Times New Roman" w:cs="Times New Roman"/>
          <w:sz w:val="24"/>
          <w:szCs w:val="24"/>
          <w:lang w:val="en-US" w:eastAsia="ru-RU"/>
        </w:rPr>
        <w:t>III</w:t>
      </w:r>
      <w:r>
        <w:rPr>
          <w:rFonts w:hint="default" w:ascii="Times New Roman" w:hAnsi="Times New Roman" w:eastAsia="Times New Roman" w:cs="Times New Roman"/>
          <w:sz w:val="24"/>
          <w:szCs w:val="24"/>
          <w:lang w:val="uk-UA" w:eastAsia="ru-RU"/>
        </w:rPr>
        <w:t xml:space="preserve"> «Правил пожежної безпеки в Україні», затверджених наказом МВС України від 30.12.2014 р. № 1417, зі змінами і доповненнями, внесеними наказами МВС України від 15.08.2016 р. № 810, від 31.07.2017 р. № 657 та від 25.11.2020 р. № 830,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"https://zakon.rada.gov.ua/laws/show/z0358-22" \l "n6" \t "_blank"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80"/>
          <w:sz w:val="24"/>
          <w:szCs w:val="24"/>
          <w:u w:val="single"/>
          <w:shd w:val="clear" w:color="auto" w:fill="FFFFFF"/>
          <w:lang w:val="uk-UA" w:eastAsia="ru-RU"/>
        </w:rPr>
        <w:t>від 22.03.2022</w:t>
      </w:r>
      <w:r>
        <w:rPr>
          <w:rFonts w:hint="default" w:ascii="Times New Roman" w:hAnsi="Times New Roman" w:eastAsia="Times New Roman" w:cs="Times New Roman"/>
          <w:color w:val="000080"/>
          <w:sz w:val="24"/>
          <w:szCs w:val="24"/>
          <w:u w:val="single"/>
          <w:shd w:val="clear" w:color="auto" w:fill="FFFFFF"/>
          <w:lang w:val="uk-UA" w:eastAsia="ru-RU"/>
        </w:rPr>
        <w:fldChar w:fldCharType="end"/>
      </w:r>
      <w:r>
        <w:rPr>
          <w:rFonts w:hint="default" w:ascii="Times New Roman" w:hAnsi="Times New Roman" w:eastAsia="Times New Roman" w:cs="Times New Roman"/>
          <w:sz w:val="24"/>
          <w:szCs w:val="24"/>
          <w:lang w:val="uk-UA" w:eastAsia="ru-RU"/>
        </w:rPr>
        <w:t xml:space="preserve"> № 197.    </w:t>
      </w:r>
    </w:p>
    <w:p>
      <w:pPr>
        <w:spacing w:after="0" w:line="240" w:lineRule="auto"/>
        <w:ind w:firstLine="708"/>
        <w:jc w:val="both"/>
        <w:rPr>
          <w:rFonts w:hint="default" w:ascii="Times New Roman" w:hAnsi="Times New Roman" w:eastAsia="Times New Roman" w:cs="Times New Roman"/>
          <w:sz w:val="24"/>
          <w:szCs w:val="24"/>
          <w:lang w:val="uk-UA" w:eastAsia="ru-RU"/>
        </w:rPr>
      </w:pPr>
    </w:p>
    <w:p>
      <w:pPr>
        <w:tabs>
          <w:tab w:val="left" w:pos="720"/>
        </w:tabs>
        <w:spacing w:after="0" w:line="240" w:lineRule="auto"/>
        <w:jc w:val="both"/>
        <w:rPr>
          <w:rFonts w:hint="default" w:ascii="Times New Roman" w:hAnsi="Times New Roman" w:eastAsia="Times New Roman" w:cs="Times New Roman"/>
          <w:sz w:val="24"/>
          <w:szCs w:val="24"/>
          <w:lang w:val="uk-UA" w:eastAsia="ru-RU"/>
        </w:rPr>
      </w:pPr>
      <w:r>
        <w:rPr>
          <w:rFonts w:hint="default" w:ascii="Times New Roman" w:hAnsi="Times New Roman" w:eastAsia="Times New Roman" w:cs="Times New Roman"/>
          <w:sz w:val="24"/>
          <w:szCs w:val="24"/>
          <w:lang w:val="uk-UA" w:eastAsia="ru-RU"/>
        </w:rPr>
        <w:tab/>
      </w:r>
      <w:r>
        <w:rPr>
          <w:rFonts w:hint="default" w:ascii="Times New Roman" w:hAnsi="Times New Roman" w:eastAsia="Times New Roman" w:cs="Times New Roman"/>
          <w:sz w:val="24"/>
          <w:szCs w:val="24"/>
          <w:lang w:val="uk-UA" w:eastAsia="ru-RU"/>
        </w:rPr>
        <w:t>Учасник при розрахунку ціни тендерної пропозиції не має права включати в ціну будь-які витрати, понесені ним у процесі підготовки пропозиції.</w:t>
      </w:r>
    </w:p>
    <w:p>
      <w:pPr>
        <w:tabs>
          <w:tab w:val="left" w:pos="720"/>
        </w:tabs>
        <w:spacing w:after="0" w:line="240" w:lineRule="auto"/>
        <w:jc w:val="both"/>
        <w:rPr>
          <w:rFonts w:hint="default" w:ascii="Times New Roman" w:hAnsi="Times New Roman" w:eastAsia="Times New Roman" w:cs="Times New Roman"/>
          <w:sz w:val="24"/>
          <w:szCs w:val="24"/>
          <w:lang w:val="uk-UA" w:eastAsia="ru-RU"/>
        </w:rPr>
      </w:pPr>
      <w:r>
        <w:rPr>
          <w:rFonts w:hint="default" w:ascii="Times New Roman" w:hAnsi="Times New Roman" w:eastAsia="Times New Roman" w:cs="Times New Roman"/>
          <w:sz w:val="24"/>
          <w:szCs w:val="24"/>
          <w:lang w:val="uk-UA" w:eastAsia="ru-RU"/>
        </w:rPr>
        <w:tab/>
      </w:r>
      <w:r>
        <w:rPr>
          <w:rFonts w:hint="default" w:ascii="Times New Roman" w:hAnsi="Times New Roman" w:eastAsia="Times New Roman" w:cs="Times New Roman"/>
          <w:sz w:val="24"/>
          <w:szCs w:val="24"/>
          <w:lang w:val="uk-UA" w:eastAsia="ru-RU"/>
        </w:rPr>
        <w:t>Учасники процедури закупівлі у складі своє тендерної пропозиції повинні підтвердити свою відповідність технічним, якісним та кількісним характеристикам до предмета закупівлі та надати розрахунок ціни тендерної пропозиції (калькуляцію).</w:t>
      </w:r>
    </w:p>
    <w:p>
      <w:pPr>
        <w:tabs>
          <w:tab w:val="left" w:pos="720"/>
        </w:tabs>
        <w:spacing w:after="0" w:line="240" w:lineRule="auto"/>
        <w:jc w:val="both"/>
        <w:rPr>
          <w:rFonts w:hint="default" w:ascii="Times New Roman" w:hAnsi="Times New Roman" w:eastAsia="Times New Roman" w:cs="Times New Roman"/>
          <w:sz w:val="24"/>
          <w:szCs w:val="24"/>
          <w:lang w:val="uk-UA" w:eastAsia="ru-RU"/>
        </w:rPr>
      </w:pPr>
      <w:r>
        <w:rPr>
          <w:rFonts w:hint="default" w:ascii="Times New Roman" w:hAnsi="Times New Roman" w:eastAsia="Times New Roman" w:cs="Times New Roman"/>
          <w:sz w:val="24"/>
          <w:szCs w:val="24"/>
          <w:lang w:val="uk-UA" w:eastAsia="ru-RU"/>
        </w:rPr>
        <w:tab/>
      </w:r>
      <w:r>
        <w:rPr>
          <w:rFonts w:hint="default" w:ascii="Times New Roman" w:hAnsi="Times New Roman" w:eastAsia="Times New Roman" w:cs="Times New Roman"/>
          <w:sz w:val="24"/>
          <w:szCs w:val="24"/>
          <w:lang w:val="uk-UA" w:eastAsia="ru-RU"/>
        </w:rPr>
        <w:t>Місце надання послуги: 16600, м. Ніжин, вул. Березанська 44 а</w:t>
      </w:r>
    </w:p>
    <w:p>
      <w:pPr>
        <w:tabs>
          <w:tab w:val="left" w:pos="720"/>
        </w:tabs>
        <w:spacing w:after="0" w:line="240" w:lineRule="auto"/>
        <w:jc w:val="both"/>
        <w:rPr>
          <w:rFonts w:ascii="Times New Roman" w:hAnsi="Times New Roman" w:cs="Times New Roman"/>
          <w:b/>
          <w:bCs/>
          <w:sz w:val="24"/>
          <w:szCs w:val="24"/>
          <w:lang w:eastAsia="uk-UA"/>
        </w:rPr>
      </w:pPr>
      <w:r>
        <w:rPr>
          <w:rFonts w:hint="default" w:ascii="Times New Roman" w:hAnsi="Times New Roman" w:eastAsia="Times New Roman" w:cs="Times New Roman"/>
          <w:sz w:val="24"/>
          <w:szCs w:val="24"/>
          <w:lang w:val="uk-UA" w:eastAsia="ru-RU"/>
        </w:rPr>
        <w:tab/>
      </w:r>
      <w:r>
        <w:rPr>
          <w:rFonts w:hint="default" w:ascii="Times New Roman" w:hAnsi="Times New Roman" w:eastAsia="Times New Roman" w:cs="Times New Roman"/>
          <w:sz w:val="24"/>
          <w:szCs w:val="24"/>
          <w:lang w:val="uk-UA" w:eastAsia="ru-RU"/>
        </w:rPr>
        <w:t>Термін надання послуг – до 30 червня 2024 року.</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Поверхня дерев’яних конструкцій повинна бути очищена від забруднень, пилу, жирних плям. Деревина повинна бути сухою без гнильних ушкоджень. При наявності на деревині старого покриття його необхідно видалити будь-яким доступним способом.</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Очищення дерев’яних поверхонь від бруду, старої вогнезахисної обробки, жироподібного шару проводять шляхом зіскоблювання або іншим інструментом; видалення пилу і сміття – щітками або шляхом обдування стисненим повітрям.</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При наявності стійких забруднень їх видалення проводять струменем водного розчину миючого засобу. Після очищення і сушки поверхні деревини приступають до нанесення вогнезахисного складу.</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Для підтвердження якості складу вогнезахисної речовини учасник до тендерної пропозиції надає наступні документи: сертифікат відповідності Державного центру сертифікації ДСНС України чи іншого органу сертифікації (оцінки відповідності); висновок санітарно-епідеміологічної експертизи; регламент робіт з вогнезахисту; Протокол випробувань з визначення групи вогнезахисної ефективності; Протокол випробувань з визначення індексу поширення полум’я по поверхні деревини; Протокол випробувань на відповідність вимогам п. 3.5.10 ГОСТ 30219-95 за показником корозійної дії вогнезахищеної деревини; протокол випробувань з токсичності продуктів горіння (зазначені вище протоколи мають бути видані уповноваженим випробувальним  центром (додатково надати на такий  випробувальний  центр  атестат  про акредитацію НААУ відповідно до вимог ДСТУ EN ISO/IEC 17025).</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Під час надання послуг Учасник має застосовувати вогнезахисну речовину, що створює максимально високий захист від вогню (група вогнезахисної ефективності 1 підгрупа 1А згідно чинного законодавства), про що у складі пропозиції надає документи від виробника, що підтверджують підгрупу вогнезахисної ефективності 1А, а саме: сертифікат відповідності Державного центру сертифікації ДСНС України чи іншого органу сертифікації (оцінки відповідності) або протоколи випробування (видані уповноваженим випробувальним  центром (додатково надати на такий  випробувальний  центр  атестат  про акредитацію НААУ відповідно до вимог ДСТУ EN ISO/IEC 17025)) , що підтверджують показники підгрупи 1А згідно пунктів 3.4.2, 3.5.9, 3.5.10 ГОСТУ 30219-95. </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Для забезпечення ефективного просочення (досягнення групи вогнезахисної ефективності 1 підгрупа 1А згідно чинного законодавства) та виконання графіку обробки, кількість шарів нанесення вогнезахисної суміші, яка планується учасником до застосування, не повинна перевищувати двох (механізованим спосіб нанесення) або трьох (при ручному нанесенні), що має бути підтверджено у складі пропозиції протоколами випробувань, наданими Учасником згідно п. 4. та п. 5.</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Строк придатності вогнезахисної речовини має складати не менше 3 років в належних умовах експлуатації, про що учасник надає копію протоколу (ів) випробувань з визначення прогнозованого (очікуваного) строку придатності вогнезахисного просочення, із застосуванням методики № 181-2015, затвердженої листом ДСНС України від 11.07.2014 року № 26-9049/261. Для забезпечення ефективного просочення (досягнення групи вогнезахисної ефективності 1 підгрупа 1А згідно чинного законодавства), зазначений протокол має містити відомості щодо втрати маси зразка після випробувань до піддавання прискореному старінню не більше 5% (відповідно ГОСТ 16363-98).</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Показники вогнезахисної речовини, зазначені в усіх наданих згідно пунктів 4 та 5 цього Додатку протоколах, мають відповідати характеристикам запропонованого продукту та забезпечувати групу вогнезахисної ефективності 1 підгрупа 1А.</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Під час надання послуг Учасник має застосовувати вогнезахисну суміш, що створює максимально високий захист від вогню (група вогнезахисної ефективності 1 підгрупа 1А згідно чинного законодавства), про що у складі пропозиції надає відповідний гарантійний лист та документи виробника (-ів) вогнезахисної суміші або  представництва (-в) чи філії виробника (-ів) – якщо їх відповідні повноваження поширюються на територію або імпортера (-ів)),  в якому виробник (-и) (або представництво (-а) чи філія виробника (-ів) – якщо їх відповідні повноваження поширюються на територію України або імпортер, що підтверджують підгрупу вогнезахисної ефективності 1А (надати регламент від виробника).</w:t>
      </w:r>
    </w:p>
    <w:p>
      <w:pPr>
        <w:pStyle w:val="8"/>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 xml:space="preserve">При наданні послуг щодо предмету закупівлі учасники повинні застосовувати заходи із захисту довкілля (надати копію наказу про призначення відповідальної особи за відповідний напрямок). </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Учасник має надати копії діючих на кінцеву дату подання пропозицій сертифікату відповідності Державного центру сертифікації ДСНС України або іншого державного органу або органу сертифікації (оцінки відповідності) та висновку санітарно-епідеміологічної експертизи щодо вогнезахисної суміші, що планується учасником до застосування.</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Надати гарантійний лист виробника вогнезахисної суміші або представництва(-в) чи філії виробника(-ів) – якщо їх відповідні повноваження поширюються на територію України або імпортера(-ів), в якому виробник(-и) (або представництво (-а) чи філія виробника (-ів) – якщо їх відповідні повноваження поширюються на територію України або імпортера(-ів)) про гарантовану поставку учаснику якісної вогнезахисної суміші в строк та в обсягах, необхідних для надання послуг, передбачених цим оголошенням.</w:t>
      </w:r>
    </w:p>
    <w:p>
      <w:pPr>
        <w:pStyle w:val="8"/>
        <w:numPr>
          <w:ilvl w:val="0"/>
          <w:numId w:val="1"/>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надає оригінал ліцензії, виданої на ім’я Учасника  на право користування програмним комплексом, яким він користувався під час формування кошторисних розрахунків або така ліцензія повинна бути видана на працівника Учасника - безпосереднього виконавця робіт, разом із копією трудового договору або цивільно-правового договору або наказу про призначення на посаду такого працівника або Учасник надає інший документ, який підтверджує його право  на користування вказаною ліцензією на підставі договірних відносин.</w:t>
      </w:r>
    </w:p>
    <w:p>
      <w:pPr>
        <w:pStyle w:val="8"/>
        <w:numPr>
          <w:ilvl w:val="0"/>
          <w:numId w:val="1"/>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надає:</w:t>
      </w:r>
    </w:p>
    <w:p>
      <w:pPr>
        <w:pStyle w:val="8"/>
        <w:numPr>
          <w:ilvl w:val="1"/>
          <w:numId w:val="1"/>
        </w:numPr>
        <w:ind w:left="0" w:firstLine="0"/>
        <w:jc w:val="both"/>
        <w:rPr>
          <w:rFonts w:ascii="Times New Roman" w:hAnsi="Times New Roman" w:eastAsia="Times New Roman" w:cs="Times New Roman"/>
          <w:sz w:val="24"/>
          <w:szCs w:val="24"/>
        </w:rPr>
      </w:pPr>
      <w:r>
        <w:rPr>
          <w:rFonts w:ascii="Times New Roman" w:hAnsi="Times New Roman" w:eastAsia="Times New Roman" w:cs="Times New Roman"/>
          <w:color w:val="000000" w:themeColor="text1"/>
          <w:sz w:val="24"/>
          <w:szCs w:val="24"/>
          <w14:textFill>
            <w14:solidFill>
              <w14:schemeClr w14:val="tx1"/>
            </w14:solidFill>
          </w14:textFill>
        </w:rPr>
        <w:t xml:space="preserve">скан- </w:t>
      </w:r>
      <w:r>
        <w:rPr>
          <w:rFonts w:ascii="Times New Roman" w:hAnsi="Times New Roman" w:eastAsia="Times New Roman" w:cs="Times New Roman"/>
          <w:sz w:val="24"/>
          <w:szCs w:val="24"/>
        </w:rPr>
        <w:t>копію оригіналу (завірену копію) протоколів (витяги з протоколів) перевірки знань, посвідчень працівників Учасника, що будуть виконувати роботи безпосередньо на об`єкті («Правила охорони праці під час виконання робіт на висоті» (НПАОП 0.00-1.15-07); «Правила охорони праці під час роботи із інструментом та пристроями» (НПАОП 0.00-1.71-13);</w:t>
      </w:r>
    </w:p>
    <w:p>
      <w:pPr>
        <w:pStyle w:val="8"/>
        <w:keepNext/>
        <w:keepLines/>
        <w:numPr>
          <w:ilvl w:val="1"/>
          <w:numId w:val="1"/>
        </w:numPr>
        <w:shd w:val="clear" w:color="auto" w:fill="FFFFFF"/>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color w:val="000000" w:themeColor="text1"/>
          <w:sz w:val="24"/>
          <w:szCs w:val="24"/>
          <w14:textFill>
            <w14:solidFill>
              <w14:schemeClr w14:val="tx1"/>
            </w14:solidFill>
          </w14:textFill>
        </w:rPr>
        <w:t xml:space="preserve">скан- </w:t>
      </w:r>
      <w:r>
        <w:rPr>
          <w:rFonts w:ascii="Times New Roman" w:hAnsi="Times New Roman" w:eastAsia="Times New Roman" w:cs="Times New Roman"/>
          <w:sz w:val="24"/>
          <w:szCs w:val="24"/>
        </w:rPr>
        <w:t>копію оригіналу (завірену копію) Декларації відповідності матеріально-технічної бази вимогам законодавства з питань охорони праці стосовно: Роботи, що виконуються на висоті понад 1,3 метра.;</w:t>
      </w:r>
    </w:p>
    <w:p>
      <w:pPr>
        <w:pStyle w:val="8"/>
        <w:keepNext/>
        <w:keepLines/>
        <w:numPr>
          <w:ilvl w:val="1"/>
          <w:numId w:val="1"/>
        </w:numPr>
        <w:shd w:val="clear" w:color="auto" w:fill="FFFFFF"/>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скан- копію оригіналу (завірену копію) оригіналу заключного акту про проходження періодичного медичного огляду працівників на працівників Учасника, що будуть виконувати роботи безпосередньо на об`єкті, які видані в установленому порядку та чинні не менше як 30 днів з дати подання тендерної пропозицій</w:t>
      </w:r>
      <w:r>
        <w:rPr>
          <w:rFonts w:hint="default" w:ascii="Times New Roman" w:hAnsi="Times New Roman" w:eastAsia="Times New Roman" w:cs="Times New Roman"/>
          <w:sz w:val="24"/>
          <w:szCs w:val="24"/>
          <w:lang w:val="uk-UA"/>
        </w:rPr>
        <w:t xml:space="preserve"> (мати при собі під час надання послуги)</w:t>
      </w:r>
      <w:r>
        <w:rPr>
          <w:rFonts w:ascii="Times New Roman" w:hAnsi="Times New Roman" w:eastAsia="Times New Roman" w:cs="Times New Roman"/>
          <w:sz w:val="24"/>
          <w:szCs w:val="24"/>
        </w:rPr>
        <w:t xml:space="preserve">.  </w:t>
      </w:r>
    </w:p>
    <w:p>
      <w:pPr>
        <w:pStyle w:val="8"/>
        <w:keepNext/>
        <w:keepLines/>
        <w:numPr>
          <w:ilvl w:val="1"/>
          <w:numId w:val="1"/>
        </w:numPr>
        <w:shd w:val="clear" w:color="auto" w:fill="FFFFFF"/>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скан- копію оригіналу (завірену копію) сертифікату, виданого на ім'я учасника - ДСТУ EN ISO 9001:2018 (EN ISO 9001:2015, IDT; ISO 9001:2015 IDT) або ISO 9001:2015. У разі проходження щорічного технічного нагляду, скан- копію оригіналу (завірену копію) звіту за результатами технічного нагляду за сертифікованою системою ;</w:t>
      </w:r>
    </w:p>
    <w:p>
      <w:pPr>
        <w:pStyle w:val="8"/>
        <w:keepNext/>
        <w:keepLines/>
        <w:numPr>
          <w:ilvl w:val="1"/>
          <w:numId w:val="1"/>
        </w:numPr>
        <w:shd w:val="clear" w:color="auto" w:fill="FFFFFF"/>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скан- копію оригіналу (завірену копію) сертифіката, виданого на ім'я учасника ДСТУ ISO 14001:2015 (ISO  14001:2015, IDT) або ISO 14001:2015. У разі проходження щорічного технічного нагляду, скан- копію оригіналу (завірену копію) звіту за результатами технічного нагляду за сертифікованою системою;</w:t>
      </w:r>
    </w:p>
    <w:p>
      <w:pPr>
        <w:pStyle w:val="8"/>
        <w:keepNext/>
        <w:keepLines/>
        <w:numPr>
          <w:ilvl w:val="1"/>
          <w:numId w:val="1"/>
        </w:numPr>
        <w:shd w:val="clear" w:color="auto" w:fill="FFFFFF"/>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скан-копію сертифікату  виданого на ім’я учасника  ДСТУ ISO/IEC 27001:2015. У разі проходження щорічного технічного нагляду, скан- копію оригіналу (завірену копію) звіту за результатами технічного нагляду за сертифікованою системою;</w:t>
      </w:r>
    </w:p>
    <w:p>
      <w:pPr>
        <w:pStyle w:val="8"/>
        <w:keepNext/>
        <w:keepLines/>
        <w:numPr>
          <w:ilvl w:val="1"/>
          <w:numId w:val="1"/>
        </w:numPr>
        <w:shd w:val="clear" w:color="auto" w:fill="FFFFFF"/>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-скан- копію оригіналу (завірену копію)  сертифіката виданого на ім'я учасника ДСТУ ISO 45001:2019 (ISO 45001:2018, IDT) або ISO 45001:2018 . У разі проходження щорічного технічного нагляду, скан- копію оригіналу (завірену копію) звіту за результатами технічного нагляду за сертифікованою системою.</w:t>
      </w:r>
    </w:p>
    <w:p>
      <w:pPr>
        <w:pStyle w:val="8"/>
        <w:keepNext/>
        <w:keepLines/>
        <w:numPr>
          <w:numId w:val="0"/>
        </w:numPr>
        <w:shd w:val="clear" w:color="auto" w:fill="FFFFFF"/>
        <w:spacing w:after="0" w:line="240" w:lineRule="auto"/>
        <w:ind w:leftChars="0"/>
        <w:jc w:val="both"/>
        <w:rPr>
          <w:rFonts w:ascii="Times New Roman" w:hAnsi="Times New Roman" w:eastAsia="Times New Roman" w:cs="Times New Roman"/>
          <w:sz w:val="24"/>
          <w:szCs w:val="24"/>
        </w:rPr>
      </w:pPr>
    </w:p>
    <w:tbl>
      <w:tblPr>
        <w:tblStyle w:val="3"/>
        <w:tblW w:w="10206" w:type="dxa"/>
        <w:jc w:val="center"/>
        <w:tblLayout w:type="fixed"/>
        <w:tblCellMar>
          <w:top w:w="0" w:type="dxa"/>
          <w:left w:w="28" w:type="dxa"/>
          <w:bottom w:w="0" w:type="dxa"/>
          <w:right w:w="28" w:type="dxa"/>
        </w:tblCellMar>
      </w:tblPr>
      <w:tblGrid>
        <w:gridCol w:w="426"/>
        <w:gridCol w:w="567"/>
        <w:gridCol w:w="5098"/>
        <w:gridCol w:w="1418"/>
        <w:gridCol w:w="1418"/>
        <w:gridCol w:w="854"/>
        <w:gridCol w:w="425"/>
      </w:tblGrid>
      <w:tr>
        <w:tblPrEx>
          <w:tblCellMar>
            <w:top w:w="0" w:type="dxa"/>
            <w:left w:w="28" w:type="dxa"/>
            <w:bottom w:w="0" w:type="dxa"/>
            <w:right w:w="28" w:type="dxa"/>
          </w:tblCellMar>
        </w:tblPrEx>
        <w:trPr>
          <w:jc w:val="center"/>
        </w:trPr>
        <w:tc>
          <w:tcPr>
            <w:tcW w:w="10206" w:type="dxa"/>
            <w:gridSpan w:val="7"/>
            <w:tcBorders>
              <w:top w:val="nil"/>
              <w:left w:val="nil"/>
              <w:bottom w:val="nil"/>
              <w:right w:val="nil"/>
            </w:tcBorders>
          </w:tcPr>
          <w:p>
            <w:pPr>
              <w:keepLines/>
              <w:autoSpaceDE w:val="0"/>
              <w:autoSpaceDN w:val="0"/>
              <w:spacing w:after="0" w:line="240" w:lineRule="auto"/>
              <w:ind w:firstLine="468" w:firstLineChars="200"/>
              <w:rPr>
                <w:rFonts w:ascii="Times New Roman" w:hAnsi="Times New Roman" w:cs="Times New Roman"/>
                <w:sz w:val="24"/>
                <w:szCs w:val="24"/>
              </w:rPr>
            </w:pPr>
            <w:r>
              <w:rPr>
                <w:rFonts w:ascii="Times New Roman" w:hAnsi="Times New Roman" w:cs="Times New Roman"/>
                <w:spacing w:val="-3"/>
                <w:sz w:val="24"/>
                <w:szCs w:val="24"/>
              </w:rPr>
              <w:t xml:space="preserve">Об'єми </w:t>
            </w:r>
          </w:p>
        </w:tc>
      </w:tr>
      <w:tr>
        <w:tblPrEx>
          <w:tblCellMar>
            <w:top w:w="0" w:type="dxa"/>
            <w:left w:w="28" w:type="dxa"/>
            <w:bottom w:w="0" w:type="dxa"/>
            <w:right w:w="28" w:type="dxa"/>
          </w:tblCellMar>
        </w:tblPrEx>
        <w:trPr>
          <w:gridBefore w:val="1"/>
          <w:gridAfter w:val="1"/>
          <w:wBefore w:w="426" w:type="dxa"/>
          <w:wAfter w:w="425" w:type="dxa"/>
          <w:trHeight w:val="90" w:hRule="atLeast"/>
          <w:jc w:val="center"/>
        </w:trPr>
        <w:tc>
          <w:tcPr>
            <w:tcW w:w="567" w:type="dxa"/>
            <w:tcBorders>
              <w:top w:val="single" w:color="auto" w:sz="12" w:space="0"/>
              <w:left w:val="single" w:color="auto" w:sz="12" w:space="0"/>
              <w:bottom w:val="nil"/>
              <w:right w:val="single" w:color="auto" w:sz="4" w:space="0"/>
            </w:tcBorders>
            <w:vAlign w:val="center"/>
          </w:tcPr>
          <w:p>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w:t>
            </w:r>
          </w:p>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Ч.ч.</w:t>
            </w:r>
          </w:p>
        </w:tc>
        <w:tc>
          <w:tcPr>
            <w:tcW w:w="5098" w:type="dxa"/>
            <w:tcBorders>
              <w:top w:val="single" w:color="auto" w:sz="12" w:space="0"/>
              <w:left w:val="nil"/>
              <w:bottom w:val="nil"/>
              <w:right w:val="nil"/>
            </w:tcBorders>
            <w:vAlign w:val="center"/>
          </w:tcPr>
          <w:p>
            <w:pPr>
              <w:keepLines/>
              <w:autoSpaceDE w:val="0"/>
              <w:autoSpaceDN w:val="0"/>
              <w:spacing w:after="0" w:line="240" w:lineRule="auto"/>
              <w:jc w:val="center"/>
              <w:rPr>
                <w:rFonts w:ascii="Times New Roman" w:hAnsi="Times New Roman" w:cs="Times New Roman"/>
                <w:spacing w:val="-3"/>
                <w:sz w:val="24"/>
                <w:szCs w:val="24"/>
              </w:rPr>
            </w:pPr>
          </w:p>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Найменування робіт і витрат</w:t>
            </w:r>
          </w:p>
        </w:tc>
        <w:tc>
          <w:tcPr>
            <w:tcW w:w="1418" w:type="dxa"/>
            <w:tcBorders>
              <w:top w:val="single" w:color="auto" w:sz="12" w:space="0"/>
              <w:left w:val="single" w:color="auto" w:sz="4" w:space="0"/>
              <w:bottom w:val="nil"/>
              <w:right w:val="nil"/>
            </w:tcBorders>
            <w:vAlign w:val="center"/>
          </w:tcPr>
          <w:p>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Одиниця</w:t>
            </w:r>
          </w:p>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виміру</w:t>
            </w:r>
          </w:p>
        </w:tc>
        <w:tc>
          <w:tcPr>
            <w:tcW w:w="1418" w:type="dxa"/>
            <w:tcBorders>
              <w:top w:val="single" w:color="auto" w:sz="12" w:space="0"/>
              <w:left w:val="single" w:color="auto" w:sz="4" w:space="0"/>
              <w:bottom w:val="nil"/>
              <w:right w:val="single" w:color="auto" w:sz="4" w:space="0"/>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 xml:space="preserve">  Кількість</w:t>
            </w:r>
          </w:p>
        </w:tc>
        <w:tc>
          <w:tcPr>
            <w:tcW w:w="854" w:type="dxa"/>
            <w:tcBorders>
              <w:top w:val="single" w:color="auto" w:sz="12" w:space="0"/>
              <w:left w:val="single" w:color="auto" w:sz="4" w:space="0"/>
              <w:bottom w:val="nil"/>
              <w:right w:val="single" w:color="auto" w:sz="12" w:space="0"/>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Примітка</w:t>
            </w:r>
          </w:p>
        </w:tc>
      </w:tr>
      <w:tr>
        <w:tblPrEx>
          <w:tblCellMar>
            <w:top w:w="0" w:type="dxa"/>
            <w:left w:w="28" w:type="dxa"/>
            <w:bottom w:w="0" w:type="dxa"/>
            <w:right w:w="28" w:type="dxa"/>
          </w:tblCellMar>
        </w:tblPrEx>
        <w:trPr>
          <w:gridBefore w:val="1"/>
          <w:gridAfter w:val="1"/>
          <w:wBefore w:w="426" w:type="dxa"/>
          <w:wAfter w:w="425" w:type="dxa"/>
          <w:jc w:val="center"/>
        </w:trPr>
        <w:tc>
          <w:tcPr>
            <w:tcW w:w="567" w:type="dxa"/>
            <w:tcBorders>
              <w:top w:val="single" w:color="auto" w:sz="4" w:space="0"/>
              <w:left w:val="single" w:color="auto" w:sz="12" w:space="0"/>
              <w:bottom w:val="single" w:color="auto" w:sz="4" w:space="0"/>
              <w:right w:val="single" w:color="auto" w:sz="4" w:space="0"/>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1</w:t>
            </w:r>
          </w:p>
        </w:tc>
        <w:tc>
          <w:tcPr>
            <w:tcW w:w="5098" w:type="dxa"/>
            <w:tcBorders>
              <w:top w:val="single" w:color="auto" w:sz="4" w:space="0"/>
              <w:left w:val="nil"/>
              <w:bottom w:val="single" w:color="auto" w:sz="4" w:space="0"/>
              <w:right w:val="nil"/>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2</w:t>
            </w:r>
          </w:p>
        </w:tc>
        <w:tc>
          <w:tcPr>
            <w:tcW w:w="1418" w:type="dxa"/>
            <w:tcBorders>
              <w:top w:val="single" w:color="auto" w:sz="4" w:space="0"/>
              <w:left w:val="single" w:color="auto" w:sz="4" w:space="0"/>
              <w:bottom w:val="single" w:color="auto" w:sz="4" w:space="0"/>
              <w:right w:val="nil"/>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3</w:t>
            </w:r>
          </w:p>
        </w:tc>
        <w:tc>
          <w:tcPr>
            <w:tcW w:w="1418" w:type="dxa"/>
            <w:tcBorders>
              <w:top w:val="single" w:color="auto" w:sz="4" w:space="0"/>
              <w:left w:val="single" w:color="auto" w:sz="4" w:space="0"/>
              <w:bottom w:val="single" w:color="auto" w:sz="4" w:space="0"/>
              <w:right w:val="single" w:color="auto" w:sz="4" w:space="0"/>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4</w:t>
            </w:r>
          </w:p>
        </w:tc>
        <w:tc>
          <w:tcPr>
            <w:tcW w:w="854" w:type="dxa"/>
            <w:tcBorders>
              <w:top w:val="single" w:color="auto" w:sz="4" w:space="0"/>
              <w:left w:val="single" w:color="auto" w:sz="4" w:space="0"/>
              <w:bottom w:val="single" w:color="auto" w:sz="4" w:space="0"/>
              <w:right w:val="single" w:color="auto" w:sz="12" w:space="0"/>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5</w:t>
            </w:r>
          </w:p>
        </w:tc>
      </w:tr>
      <w:tr>
        <w:tblPrEx>
          <w:tblCellMar>
            <w:top w:w="0" w:type="dxa"/>
            <w:left w:w="28" w:type="dxa"/>
            <w:bottom w:w="0" w:type="dxa"/>
            <w:right w:w="28" w:type="dxa"/>
          </w:tblCellMar>
        </w:tblPrEx>
        <w:trPr>
          <w:gridBefore w:val="1"/>
          <w:gridAfter w:val="1"/>
          <w:wBefore w:w="426" w:type="dxa"/>
          <w:wAfter w:w="425" w:type="dxa"/>
          <w:jc w:val="center"/>
        </w:trPr>
        <w:tc>
          <w:tcPr>
            <w:tcW w:w="567" w:type="dxa"/>
            <w:tcBorders>
              <w:top w:val="nil"/>
              <w:left w:val="single" w:color="auto" w:sz="12" w:space="0"/>
              <w:bottom w:val="nil"/>
              <w:right w:val="single" w:color="auto" w:sz="4" w:space="0"/>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1</w:t>
            </w:r>
          </w:p>
        </w:tc>
        <w:tc>
          <w:tcPr>
            <w:tcW w:w="5098" w:type="dxa"/>
            <w:tcBorders>
              <w:top w:val="nil"/>
              <w:left w:val="nil"/>
              <w:bottom w:val="nil"/>
              <w:right w:val="nil"/>
            </w:tcBorders>
          </w:tcPr>
          <w:p>
            <w:pPr>
              <w:keepLines/>
              <w:autoSpaceDE w:val="0"/>
              <w:autoSpaceDN w:val="0"/>
              <w:spacing w:after="0" w:line="240" w:lineRule="auto"/>
              <w:rPr>
                <w:rFonts w:ascii="Times New Roman" w:hAnsi="Times New Roman" w:cs="Times New Roman"/>
                <w:sz w:val="24"/>
                <w:szCs w:val="24"/>
              </w:rPr>
            </w:pPr>
            <w:r>
              <w:rPr>
                <w:rFonts w:hint="default" w:ascii="Times New Roman" w:hAnsi="Times New Roman"/>
                <w:spacing w:val="-3"/>
                <w:sz w:val="24"/>
                <w:szCs w:val="24"/>
              </w:rPr>
              <w:t>Вогнезахисне просочення дерев’яних конструкцій горищних приміщень Ніжинського дитячого будинку-інтернату за адресою: Чернігівська обл., м. Ніжин, вул. Березанська 44а</w:t>
            </w:r>
          </w:p>
        </w:tc>
        <w:tc>
          <w:tcPr>
            <w:tcW w:w="1418" w:type="dxa"/>
            <w:tcBorders>
              <w:top w:val="nil"/>
              <w:left w:val="single" w:color="auto" w:sz="4" w:space="0"/>
              <w:bottom w:val="nil"/>
              <w:right w:val="nil"/>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м2</w:t>
            </w:r>
          </w:p>
        </w:tc>
        <w:tc>
          <w:tcPr>
            <w:tcW w:w="1418" w:type="dxa"/>
            <w:tcBorders>
              <w:top w:val="nil"/>
              <w:left w:val="single" w:color="auto" w:sz="4" w:space="0"/>
              <w:bottom w:val="nil"/>
              <w:right w:val="single" w:color="auto" w:sz="4" w:space="0"/>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4443,25</w:t>
            </w:r>
          </w:p>
        </w:tc>
        <w:tc>
          <w:tcPr>
            <w:tcW w:w="854" w:type="dxa"/>
            <w:tcBorders>
              <w:top w:val="nil"/>
              <w:left w:val="single" w:color="auto" w:sz="4" w:space="0"/>
              <w:bottom w:val="nil"/>
              <w:right w:val="single" w:color="auto" w:sz="12" w:space="0"/>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tblPrEx>
          <w:tblCellMar>
            <w:top w:w="0" w:type="dxa"/>
            <w:left w:w="28" w:type="dxa"/>
            <w:bottom w:w="0" w:type="dxa"/>
            <w:right w:w="28" w:type="dxa"/>
          </w:tblCellMar>
        </w:tblPrEx>
        <w:trPr>
          <w:gridBefore w:val="1"/>
          <w:gridAfter w:val="1"/>
          <w:wBefore w:w="426" w:type="dxa"/>
          <w:wAfter w:w="425" w:type="dxa"/>
          <w:jc w:val="center"/>
        </w:trPr>
        <w:tc>
          <w:tcPr>
            <w:tcW w:w="567" w:type="dxa"/>
            <w:tcBorders>
              <w:top w:val="nil"/>
              <w:left w:val="single" w:color="auto" w:sz="12" w:space="0"/>
              <w:bottom w:val="nil"/>
              <w:right w:val="single" w:color="auto" w:sz="4" w:space="0"/>
            </w:tcBorders>
          </w:tcPr>
          <w:p>
            <w:pPr>
              <w:keepLines/>
              <w:autoSpaceDE w:val="0"/>
              <w:autoSpaceDN w:val="0"/>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pacing w:val="-3"/>
                <w:sz w:val="24"/>
                <w:szCs w:val="24"/>
              </w:rPr>
              <w:t>2</w:t>
            </w:r>
          </w:p>
        </w:tc>
        <w:tc>
          <w:tcPr>
            <w:tcW w:w="5098" w:type="dxa"/>
            <w:tcBorders>
              <w:top w:val="nil"/>
              <w:left w:val="nil"/>
              <w:bottom w:val="nil"/>
              <w:right w:val="nil"/>
            </w:tcBorders>
          </w:tcPr>
          <w:p>
            <w:pPr>
              <w:keepLine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Вогнезахисна речовина </w:t>
            </w:r>
          </w:p>
        </w:tc>
        <w:tc>
          <w:tcPr>
            <w:tcW w:w="1418" w:type="dxa"/>
            <w:tcBorders>
              <w:top w:val="nil"/>
              <w:left w:val="single" w:color="auto" w:sz="4" w:space="0"/>
              <w:bottom w:val="nil"/>
              <w:right w:val="nil"/>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т</w:t>
            </w:r>
          </w:p>
        </w:tc>
        <w:tc>
          <w:tcPr>
            <w:tcW w:w="1418" w:type="dxa"/>
            <w:tcBorders>
              <w:top w:val="nil"/>
              <w:left w:val="single" w:color="auto" w:sz="4" w:space="0"/>
              <w:bottom w:val="nil"/>
              <w:right w:val="single" w:color="auto" w:sz="4" w:space="0"/>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1,666</w:t>
            </w:r>
          </w:p>
        </w:tc>
        <w:tc>
          <w:tcPr>
            <w:tcW w:w="854" w:type="dxa"/>
            <w:tcBorders>
              <w:top w:val="nil"/>
              <w:left w:val="single" w:color="auto" w:sz="4" w:space="0"/>
              <w:bottom w:val="nil"/>
              <w:right w:val="single" w:color="auto" w:sz="12" w:space="0"/>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bookmarkEnd w:id="0"/>
      <w:tr>
        <w:tblPrEx>
          <w:tblCellMar>
            <w:top w:w="0" w:type="dxa"/>
            <w:left w:w="28" w:type="dxa"/>
            <w:bottom w:w="0" w:type="dxa"/>
            <w:right w:w="28" w:type="dxa"/>
          </w:tblCellMar>
        </w:tblPrEx>
        <w:trPr>
          <w:gridBefore w:val="1"/>
          <w:gridAfter w:val="1"/>
          <w:wBefore w:w="426" w:type="dxa"/>
          <w:wAfter w:w="425" w:type="dxa"/>
          <w:jc w:val="center"/>
        </w:trPr>
        <w:tc>
          <w:tcPr>
            <w:tcW w:w="9355" w:type="dxa"/>
            <w:gridSpan w:val="5"/>
            <w:tcBorders>
              <w:top w:val="single" w:color="auto" w:sz="12" w:space="0"/>
              <w:left w:val="nil"/>
              <w:bottom w:val="single" w:color="auto" w:sz="12" w:space="0"/>
              <w:right w:val="nil"/>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tblPrEx>
          <w:tblCellMar>
            <w:top w:w="0" w:type="dxa"/>
            <w:left w:w="28" w:type="dxa"/>
            <w:bottom w:w="0" w:type="dxa"/>
            <w:right w:w="28" w:type="dxa"/>
          </w:tblCellMar>
        </w:tblPrEx>
        <w:trPr>
          <w:gridBefore w:val="1"/>
          <w:gridAfter w:val="1"/>
          <w:wBefore w:w="426" w:type="dxa"/>
          <w:wAfter w:w="425" w:type="dxa"/>
          <w:trHeight w:val="90" w:hRule="atLeast"/>
          <w:jc w:val="center"/>
        </w:trPr>
        <w:tc>
          <w:tcPr>
            <w:tcW w:w="9355" w:type="dxa"/>
            <w:gridSpan w:val="5"/>
            <w:tcBorders>
              <w:top w:val="single" w:color="auto" w:sz="12" w:space="0"/>
              <w:left w:val="nil"/>
              <w:bottom w:val="nil"/>
              <w:right w:val="nil"/>
            </w:tcBorders>
            <w:vAlign w:val="center"/>
          </w:tcPr>
          <w:p>
            <w:pPr>
              <w:keepLines/>
              <w:autoSpaceDE w:val="0"/>
              <w:autoSpaceDN w:val="0"/>
              <w:spacing w:after="0" w:line="240" w:lineRule="auto"/>
              <w:jc w:val="both"/>
              <w:rPr>
                <w:rFonts w:ascii="Times New Roman" w:hAnsi="Times New Roman" w:cs="Times New Roman"/>
                <w:sz w:val="24"/>
                <w:szCs w:val="24"/>
              </w:rPr>
            </w:pPr>
          </w:p>
        </w:tc>
      </w:tr>
    </w:tbl>
    <w:p>
      <w:pPr>
        <w:pStyle w:val="8"/>
        <w:numPr>
          <w:ilvl w:val="0"/>
          <w:numId w:val="0"/>
        </w:numPr>
        <w:ind w:leftChars="0" w:firstLine="480" w:firstLineChars="200"/>
        <w:jc w:val="both"/>
        <w:rPr>
          <w:rFonts w:ascii="Times New Roman" w:hAnsi="Times New Roman" w:cs="Times New Roman"/>
          <w:sz w:val="24"/>
          <w:szCs w:val="24"/>
        </w:rPr>
      </w:pPr>
      <w:r>
        <w:rPr>
          <w:rFonts w:ascii="Times New Roman" w:hAnsi="Times New Roman" w:cs="Times New Roman"/>
          <w:bCs/>
          <w:sz w:val="24"/>
          <w:szCs w:val="24"/>
          <w:lang w:val="uk-UA" w:eastAsia="zh-CN"/>
        </w:rPr>
        <w:t>Р</w:t>
      </w:r>
      <w:r>
        <w:rPr>
          <w:rFonts w:ascii="Times New Roman" w:hAnsi="Times New Roman" w:cs="Times New Roman"/>
          <w:bCs/>
          <w:sz w:val="24"/>
          <w:szCs w:val="24"/>
          <w:lang w:eastAsia="zh-CN"/>
        </w:rPr>
        <w:t>озроб</w:t>
      </w:r>
      <w:r>
        <w:rPr>
          <w:rFonts w:ascii="Times New Roman" w:hAnsi="Times New Roman" w:cs="Times New Roman"/>
          <w:bCs/>
          <w:sz w:val="24"/>
          <w:szCs w:val="24"/>
          <w:lang w:val="uk-UA" w:eastAsia="zh-CN"/>
        </w:rPr>
        <w:t>ити</w:t>
      </w:r>
      <w:r>
        <w:rPr>
          <w:rFonts w:ascii="Times New Roman" w:hAnsi="Times New Roman" w:cs="Times New Roman"/>
          <w:bCs/>
          <w:sz w:val="24"/>
          <w:szCs w:val="24"/>
          <w:lang w:eastAsia="zh-CN"/>
        </w:rPr>
        <w:t xml:space="preserve"> кошторисну документацію </w:t>
      </w:r>
      <w:r>
        <w:rPr>
          <w:rFonts w:ascii="Times New Roman" w:hAnsi="Times New Roman" w:cs="Times New Roman"/>
          <w:sz w:val="24"/>
          <w:szCs w:val="24"/>
          <w:lang w:eastAsia="zh-CN"/>
        </w:rPr>
        <w:t>(подається додатково у форматі Word</w:t>
      </w:r>
      <w:r>
        <w:rPr>
          <w:rFonts w:ascii="Times New Roman" w:hAnsi="Times New Roman" w:cs="Times New Roman"/>
          <w:iCs/>
          <w:sz w:val="24"/>
          <w:szCs w:val="24"/>
        </w:rPr>
        <w:t xml:space="preserve"> або іншому форматі</w:t>
      </w:r>
      <w:r>
        <w:rPr>
          <w:rFonts w:ascii="Times New Roman" w:hAnsi="Times New Roman" w:cs="Times New Roman"/>
          <w:sz w:val="24"/>
          <w:szCs w:val="24"/>
          <w:lang w:eastAsia="zh-CN"/>
        </w:rPr>
        <w:t>) у складі:</w:t>
      </w:r>
    </w:p>
    <w:p>
      <w:pPr>
        <w:pStyle w:val="8"/>
        <w:numPr>
          <w:ilvl w:val="0"/>
          <w:numId w:val="2"/>
        </w:numPr>
        <w:suppressAutoHyphens/>
        <w:jc w:val="both"/>
        <w:rPr>
          <w:rFonts w:ascii="Times New Roman" w:hAnsi="Times New Roman" w:cs="Times New Roman"/>
          <w:iCs/>
          <w:sz w:val="24"/>
          <w:szCs w:val="24"/>
        </w:rPr>
      </w:pPr>
      <w:r>
        <w:rPr>
          <w:rFonts w:ascii="Times New Roman" w:hAnsi="Times New Roman" w:cs="Times New Roman"/>
          <w:sz w:val="24"/>
          <w:szCs w:val="24"/>
          <w:lang w:eastAsia="zh-CN"/>
        </w:rPr>
        <w:t>Дефектний акт;</w:t>
      </w:r>
    </w:p>
    <w:p>
      <w:pPr>
        <w:pStyle w:val="8"/>
        <w:numPr>
          <w:ilvl w:val="0"/>
          <w:numId w:val="2"/>
        </w:numPr>
        <w:suppressAutoHyphens/>
        <w:jc w:val="both"/>
        <w:rPr>
          <w:rFonts w:ascii="Times New Roman" w:hAnsi="Times New Roman" w:cs="Times New Roman"/>
          <w:iCs/>
          <w:sz w:val="24"/>
          <w:szCs w:val="24"/>
        </w:rPr>
      </w:pPr>
      <w:r>
        <w:rPr>
          <w:rFonts w:ascii="Times New Roman" w:hAnsi="Times New Roman" w:cs="Times New Roman"/>
          <w:sz w:val="24"/>
          <w:szCs w:val="24"/>
          <w:lang w:eastAsia="zh-CN"/>
        </w:rPr>
        <w:t>Договірна ціна (</w:t>
      </w:r>
      <w:r>
        <w:rPr>
          <w:rFonts w:ascii="Times New Roman" w:hAnsi="Times New Roman" w:cs="Times New Roman"/>
          <w:bCs/>
          <w:iCs/>
          <w:color w:val="000000"/>
          <w:sz w:val="24"/>
          <w:szCs w:val="24"/>
          <w:lang w:eastAsia="ar-SA"/>
        </w:rPr>
        <w:t>тверда)</w:t>
      </w:r>
      <w:r>
        <w:rPr>
          <w:rFonts w:ascii="Times New Roman" w:hAnsi="Times New Roman" w:cs="Times New Roman"/>
          <w:sz w:val="24"/>
          <w:szCs w:val="24"/>
          <w:lang w:eastAsia="zh-CN"/>
        </w:rPr>
        <w:t>;</w:t>
      </w:r>
    </w:p>
    <w:p>
      <w:pPr>
        <w:pStyle w:val="8"/>
        <w:numPr>
          <w:ilvl w:val="0"/>
          <w:numId w:val="2"/>
        </w:numPr>
        <w:suppressAutoHyphens/>
        <w:jc w:val="both"/>
        <w:rPr>
          <w:rFonts w:ascii="Times New Roman" w:hAnsi="Times New Roman" w:cs="Times New Roman"/>
          <w:iCs/>
          <w:sz w:val="24"/>
          <w:szCs w:val="24"/>
        </w:rPr>
      </w:pPr>
      <w:r>
        <w:rPr>
          <w:rFonts w:ascii="Times New Roman" w:hAnsi="Times New Roman" w:cs="Times New Roman"/>
          <w:sz w:val="24"/>
          <w:szCs w:val="24"/>
          <w:lang w:eastAsia="zh-CN"/>
        </w:rPr>
        <w:t>Зведений кошторисний розрахунок з пояснювальною запискою;</w:t>
      </w:r>
    </w:p>
    <w:p>
      <w:pPr>
        <w:pStyle w:val="8"/>
        <w:numPr>
          <w:ilvl w:val="0"/>
          <w:numId w:val="2"/>
        </w:numPr>
        <w:suppressAutoHyphens/>
        <w:jc w:val="both"/>
        <w:rPr>
          <w:rFonts w:ascii="Times New Roman" w:hAnsi="Times New Roman" w:cs="Times New Roman"/>
          <w:iCs/>
          <w:sz w:val="24"/>
          <w:szCs w:val="24"/>
        </w:rPr>
      </w:pPr>
      <w:r>
        <w:rPr>
          <w:rFonts w:ascii="Times New Roman" w:hAnsi="Times New Roman" w:cs="Times New Roman"/>
          <w:sz w:val="24"/>
          <w:szCs w:val="24"/>
          <w:lang w:eastAsia="zh-CN"/>
        </w:rPr>
        <w:t>Локальні кошториси;</w:t>
      </w:r>
    </w:p>
    <w:p>
      <w:pPr>
        <w:pStyle w:val="8"/>
        <w:numPr>
          <w:ilvl w:val="0"/>
          <w:numId w:val="2"/>
        </w:numPr>
        <w:suppressAutoHyphens/>
        <w:jc w:val="both"/>
        <w:rPr>
          <w:rFonts w:ascii="Times New Roman" w:hAnsi="Times New Roman" w:cs="Times New Roman"/>
          <w:iCs/>
          <w:sz w:val="24"/>
          <w:szCs w:val="24"/>
        </w:rPr>
      </w:pPr>
      <w:r>
        <w:rPr>
          <w:rFonts w:ascii="Times New Roman" w:hAnsi="Times New Roman" w:cs="Times New Roman"/>
          <w:sz w:val="24"/>
          <w:szCs w:val="24"/>
          <w:lang w:eastAsia="zh-CN"/>
        </w:rPr>
        <w:t>Підсумкова відомість ресурсів до локального кошторисного розрахунку</w:t>
      </w:r>
      <w:r>
        <w:rPr>
          <w:rFonts w:ascii="Times New Roman" w:hAnsi="Times New Roman" w:cs="Times New Roman"/>
          <w:sz w:val="24"/>
          <w:szCs w:val="24"/>
        </w:rPr>
        <w:t>.</w:t>
      </w:r>
    </w:p>
    <w:p>
      <w:pPr>
        <w:pStyle w:val="8"/>
        <w:pBdr>
          <w:top w:val="none" w:color="auto" w:sz="0" w:space="0"/>
          <w:left w:val="none" w:color="auto" w:sz="0" w:space="0"/>
          <w:bottom w:val="none" w:color="auto" w:sz="0" w:space="0"/>
          <w:right w:val="none" w:color="auto" w:sz="0" w:space="0"/>
          <w:between w:val="none" w:color="auto" w:sz="0" w:space="0"/>
        </w:pBdr>
        <w:ind w:left="0" w:firstLine="360"/>
        <w:jc w:val="both"/>
        <w:rPr>
          <w:rFonts w:ascii="Times New Roman" w:hAnsi="Times New Roman" w:cs="Times New Roman"/>
          <w:i/>
          <w:sz w:val="24"/>
          <w:szCs w:val="24"/>
        </w:rPr>
      </w:pPr>
      <w:r>
        <w:rPr>
          <w:rFonts w:ascii="Times New Roman" w:hAnsi="Times New Roman" w:cs="Times New Roman"/>
          <w:color w:val="000000"/>
          <w:sz w:val="24"/>
          <w:szCs w:val="24"/>
        </w:rPr>
        <w:t>Кошторисна документація (кошторисні розрахунки пропозиції) Учасника мають відповідати всім вимогам та показникам, передбачених у  цьому  Додатку.</w:t>
      </w:r>
    </w:p>
    <w:p>
      <w:pPr>
        <w:suppressAutoHyphens/>
        <w:ind w:firstLine="567"/>
        <w:jc w:val="both"/>
        <w:rPr>
          <w:rFonts w:ascii="Times New Roman" w:hAnsi="Times New Roman" w:cs="Times New Roman"/>
          <w:i/>
          <w:sz w:val="24"/>
          <w:szCs w:val="24"/>
        </w:rPr>
      </w:pPr>
      <w:r>
        <w:rPr>
          <w:rFonts w:ascii="Times New Roman" w:hAnsi="Times New Roman" w:cs="Times New Roman"/>
          <w:i/>
          <w:sz w:val="24"/>
          <w:szCs w:val="24"/>
        </w:rPr>
        <w:t xml:space="preserve">Документи, що не передбачені законодавством для учасників – юридичних, фізичних осіб, у тому числі фізичних осіб підприємців, не подаються ними у складі тендерної пропозиції та не вимагаються під час проведення переговорів з учасником. </w:t>
      </w:r>
    </w:p>
    <w:p>
      <w:pPr>
        <w:tabs>
          <w:tab w:val="left" w:pos="708"/>
        </w:tabs>
        <w:suppressAutoHyphens/>
        <w:ind w:firstLine="567"/>
        <w:jc w:val="both"/>
        <w:rPr>
          <w:rFonts w:ascii="Times New Roman" w:hAnsi="Times New Roman" w:cs="Times New Roman"/>
          <w:i/>
          <w:sz w:val="24"/>
          <w:szCs w:val="24"/>
        </w:rPr>
      </w:pPr>
      <w:r>
        <w:rPr>
          <w:rFonts w:ascii="Times New Roman" w:hAnsi="Times New Roman" w:cs="Times New Roman"/>
          <w:i/>
          <w:sz w:val="24"/>
          <w:szCs w:val="24"/>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Pr>
          <w:rFonts w:ascii="Times New Roman" w:hAnsi="Times New Roman" w:cs="Times New Roman"/>
          <w:bCs/>
          <w:i/>
          <w:iCs/>
          <w:color w:val="000000"/>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pPr>
        <w:pBdr>
          <w:top w:val="none" w:color="auto" w:sz="0" w:space="0"/>
          <w:left w:val="none" w:color="auto" w:sz="0" w:space="0"/>
          <w:bottom w:val="none" w:color="auto" w:sz="0" w:space="0"/>
          <w:right w:val="none" w:color="auto" w:sz="0" w:space="0"/>
          <w:between w:val="none" w:color="auto" w:sz="0" w:space="0"/>
        </w:pBdr>
        <w:ind w:firstLine="709"/>
        <w:jc w:val="both"/>
        <w:rPr>
          <w:rFonts w:ascii="Times New Roman" w:hAnsi="Times New Roman" w:cs="Times New Roman"/>
          <w:i/>
          <w:color w:val="000000"/>
          <w:sz w:val="24"/>
          <w:szCs w:val="24"/>
        </w:rPr>
      </w:pPr>
      <w:r>
        <w:rPr>
          <w:rFonts w:ascii="Times New Roman" w:hAnsi="Times New Roman" w:cs="Times New Roman"/>
          <w:i/>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pPr>
        <w:rPr>
          <w:rFonts w:ascii="Times New Roman" w:hAnsi="Times New Roman" w:cs="Times New Roman" w:eastAsiaTheme="minorHAnsi"/>
          <w:b/>
          <w:bCs/>
          <w:sz w:val="24"/>
          <w:szCs w:val="24"/>
          <w:lang w:eastAsia="uk-UA"/>
        </w:rPr>
      </w:pPr>
    </w:p>
    <w:p>
      <w:pPr>
        <w:spacing w:after="0"/>
        <w:ind w:firstLine="709"/>
        <w:jc w:val="both"/>
        <w:rPr>
          <w:rFonts w:ascii="Times New Roman" w:hAnsi="Times New Roman" w:cs="Times New Roman"/>
          <w:sz w:val="24"/>
          <w:szCs w:val="24"/>
        </w:rPr>
      </w:pPr>
    </w:p>
    <w:sectPr>
      <w:pgSz w:w="11906" w:h="16838"/>
      <w:pgMar w:top="568" w:right="851" w:bottom="993"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B95BB7"/>
    <w:multiLevelType w:val="multilevel"/>
    <w:tmpl w:val="1EB95BB7"/>
    <w:lvl w:ilvl="0" w:tentative="0">
      <w:start w:val="1"/>
      <w:numFmt w:val="decimal"/>
      <w:lvlText w:val="%1."/>
      <w:lvlJc w:val="left"/>
      <w:pPr>
        <w:ind w:left="360" w:hanging="360"/>
      </w:pPr>
    </w:lvl>
    <w:lvl w:ilvl="1" w:tentative="0">
      <w:start w:val="0"/>
      <w:numFmt w:val="bullet"/>
      <w:lvlText w:val="-"/>
      <w:lvlJc w:val="left"/>
      <w:pPr>
        <w:ind w:left="1080" w:hanging="360"/>
      </w:pPr>
      <w:rPr>
        <w:rFonts w:hint="default" w:ascii="Times New Roman" w:hAnsi="Times New Roman" w:eastAsia="Times New Roman" w:cs="Times New Roman"/>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502A2BB6"/>
    <w:multiLevelType w:val="multilevel"/>
    <w:tmpl w:val="502A2B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EC"/>
    <w:rsid w:val="0038429F"/>
    <w:rsid w:val="00390D4C"/>
    <w:rsid w:val="003F0057"/>
    <w:rsid w:val="006C0B77"/>
    <w:rsid w:val="008242FF"/>
    <w:rsid w:val="00870751"/>
    <w:rsid w:val="00922C48"/>
    <w:rsid w:val="00B915B7"/>
    <w:rsid w:val="00BA37D1"/>
    <w:rsid w:val="00C52383"/>
    <w:rsid w:val="00E01CEC"/>
    <w:rsid w:val="00E04505"/>
    <w:rsid w:val="00E243D7"/>
    <w:rsid w:val="00EA3E99"/>
    <w:rsid w:val="00EA59DF"/>
    <w:rsid w:val="00EE4070"/>
    <w:rsid w:val="00F12C76"/>
    <w:rsid w:val="00F3755A"/>
    <w:rsid w:val="00F8236C"/>
    <w:rsid w:val="0AC0043E"/>
    <w:rsid w:val="0EBD5CF5"/>
    <w:rsid w:val="3E2B6A45"/>
    <w:rsid w:val="3F2B503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kern w:val="0"/>
      <w:sz w:val="22"/>
      <w:szCs w:val="22"/>
      <w:lang w:val="uk-UA" w:eastAsia="en-US" w:bidi="ar-SA"/>
      <w14:ligatures w14:val="none"/>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pPr>
      <w:spacing w:after="0" w:line="240" w:lineRule="auto"/>
    </w:pPr>
    <w:rPr>
      <w:rFonts w:ascii="Tahoma" w:hAnsi="Tahoma" w:cs="Tahoma"/>
      <w:sz w:val="16"/>
      <w:szCs w:val="16"/>
    </w:rPr>
  </w:style>
  <w:style w:type="paragraph" w:customStyle="1" w:styleId="5">
    <w:name w:val="rvps2"/>
    <w:basedOn w:val="1"/>
    <w:qFormat/>
    <w:uiPriority w:val="99"/>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customStyle="1" w:styleId="6">
    <w:name w:val="Другое_"/>
    <w:basedOn w:val="2"/>
    <w:link w:val="7"/>
    <w:qFormat/>
    <w:uiPriority w:val="0"/>
    <w:rPr>
      <w:rFonts w:ascii="Arial" w:hAnsi="Arial" w:eastAsia="Arial" w:cs="Arial"/>
      <w:sz w:val="20"/>
      <w:szCs w:val="20"/>
    </w:rPr>
  </w:style>
  <w:style w:type="paragraph" w:customStyle="1" w:styleId="7">
    <w:name w:val="Другое"/>
    <w:basedOn w:val="1"/>
    <w:link w:val="6"/>
    <w:qFormat/>
    <w:uiPriority w:val="0"/>
    <w:pPr>
      <w:widowControl w:val="0"/>
      <w:spacing w:after="0" w:line="240" w:lineRule="auto"/>
    </w:pPr>
    <w:rPr>
      <w:rFonts w:ascii="Arial" w:hAnsi="Arial" w:eastAsia="Arial" w:cs="Arial"/>
      <w:kern w:val="2"/>
      <w:sz w:val="20"/>
      <w:szCs w:val="20"/>
      <w:lang w:val="ru-RU"/>
      <w14:ligatures w14:val="standardContextual"/>
    </w:rPr>
  </w:style>
  <w:style w:type="paragraph" w:styleId="8">
    <w:name w:val="List Paragraph"/>
    <w:basedOn w:val="1"/>
    <w:qFormat/>
    <w:uiPriority w:val="34"/>
    <w:pPr>
      <w:ind w:left="720"/>
      <w:contextualSpacing/>
    </w:pPr>
  </w:style>
  <w:style w:type="character" w:customStyle="1" w:styleId="9">
    <w:name w:val="Текст выноски Знак"/>
    <w:basedOn w:val="2"/>
    <w:link w:val="4"/>
    <w:semiHidden/>
    <w:qFormat/>
    <w:uiPriority w:val="99"/>
    <w:rPr>
      <w:rFonts w:ascii="Tahoma" w:hAnsi="Tahoma" w:eastAsia="Calibri" w:cs="Tahoma"/>
      <w:kern w:val="0"/>
      <w:sz w:val="16"/>
      <w:szCs w:val="16"/>
      <w:lang w:val="uk-UA"/>
      <w14:ligatures w14: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6386</Words>
  <Characters>3641</Characters>
  <Lines>30</Lines>
  <Paragraphs>20</Paragraphs>
  <TotalTime>53</TotalTime>
  <ScaleCrop>false</ScaleCrop>
  <LinksUpToDate>false</LinksUpToDate>
  <CharactersWithSpaces>10007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2024-04-15T07:07:00Z</dcterms:created>
  <dc:creator>Andriy Snitko</dc:creator>
  <cp:lastModifiedBy>WPS_1706794706</cp:lastModifiedBy>
  <cp:lastPrinted>2024-04-15T06:18:00Z</cp:lastPrinted>
  <dcterms:modified xsi:type="dcterms:W3CDTF">2024-04-16T07:46:47Z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1353BA354C284A1BB3948E878232A5AB_13</vt:lpwstr>
  </property>
</Properties>
</file>